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91307E9" wp14:editId="3A232AD8">
                  <wp:simplePos x="0" y="0"/>
                  <wp:positionH relativeFrom="column">
                    <wp:posOffset>-85725</wp:posOffset>
                  </wp:positionH>
                  <wp:positionV relativeFrom="page">
                    <wp:posOffset>97155</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510"/>
        <w:gridCol w:w="5000"/>
      </w:tblGrid>
      <w:tr w:rsidR="00333FAA" w:rsidTr="00FF509C">
        <w:tc>
          <w:tcPr>
            <w:tcW w:w="3510"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00"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rsidTr="00FF509C">
        <w:tc>
          <w:tcPr>
            <w:tcW w:w="3510"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00" w:type="dxa"/>
            <w:tcBorders>
              <w:top w:val="single" w:sz="18" w:space="0" w:color="auto"/>
            </w:tcBorders>
          </w:tcPr>
          <w:p w:rsidR="00333FAA" w:rsidRPr="005E3A10" w:rsidRDefault="00FF509C" w:rsidP="00C801D4">
            <w:pPr>
              <w:rPr>
                <w:rFonts w:cs="Arial"/>
                <w:szCs w:val="24"/>
              </w:rPr>
            </w:pPr>
            <w:r w:rsidRPr="006B1DE1">
              <w:rPr>
                <w:rFonts w:cs="Arial"/>
              </w:rPr>
              <w:t>1</w:t>
            </w:r>
            <w:r w:rsidR="00C801D4">
              <w:rPr>
                <w:rFonts w:cs="Arial"/>
              </w:rPr>
              <w:t>0</w:t>
            </w:r>
            <w:r w:rsidRPr="006B1DE1">
              <w:rPr>
                <w:rFonts w:cs="Arial"/>
              </w:rPr>
              <w:t xml:space="preserve"> </w:t>
            </w:r>
            <w:r w:rsidR="00C801D4">
              <w:rPr>
                <w:rFonts w:cs="Arial"/>
              </w:rPr>
              <w:t>December</w:t>
            </w:r>
            <w:r w:rsidRPr="006B1DE1">
              <w:rPr>
                <w:rFonts w:cs="Arial"/>
              </w:rPr>
              <w:t xml:space="preserve"> 2015</w:t>
            </w: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00" w:type="dxa"/>
          </w:tcPr>
          <w:p w:rsidR="00333FAA" w:rsidRPr="005E3A10" w:rsidRDefault="00FF509C" w:rsidP="00C801D4">
            <w:pPr>
              <w:rPr>
                <w:rFonts w:cs="Arial"/>
                <w:szCs w:val="24"/>
              </w:rPr>
            </w:pPr>
            <w:r w:rsidRPr="006B1DE1">
              <w:rPr>
                <w:rFonts w:cs="Arial"/>
              </w:rPr>
              <w:t xml:space="preserve">Revenue and Capital Monitoring for Quarter </w:t>
            </w:r>
            <w:r w:rsidR="00C801D4">
              <w:rPr>
                <w:rFonts w:cs="Arial"/>
              </w:rPr>
              <w:t>2</w:t>
            </w:r>
            <w:r w:rsidRPr="006B1DE1">
              <w:rPr>
                <w:rFonts w:cs="Arial"/>
              </w:rPr>
              <w:t xml:space="preserve"> as at 30 </w:t>
            </w:r>
            <w:r w:rsidR="00C801D4">
              <w:rPr>
                <w:rFonts w:cs="Arial"/>
              </w:rPr>
              <w:t>September</w:t>
            </w:r>
            <w:r w:rsidRPr="006B1DE1">
              <w:rPr>
                <w:rFonts w:cs="Arial"/>
              </w:rPr>
              <w:t xml:space="preserve"> 2015</w:t>
            </w:r>
          </w:p>
        </w:tc>
      </w:tr>
      <w:tr w:rsidR="00333FAA" w:rsidTr="00FF509C">
        <w:tc>
          <w:tcPr>
            <w:tcW w:w="3510"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00" w:type="dxa"/>
          </w:tcPr>
          <w:p w:rsidR="00333FAA" w:rsidRPr="005E3A10" w:rsidRDefault="002C672F" w:rsidP="002C672F">
            <w:pPr>
              <w:pStyle w:val="Infotext"/>
              <w:rPr>
                <w:rFonts w:cs="Arial"/>
                <w:szCs w:val="24"/>
              </w:rPr>
            </w:pPr>
            <w:r w:rsidRPr="002C672F">
              <w:rPr>
                <w:rFonts w:cs="Arial"/>
                <w:sz w:val="24"/>
                <w:szCs w:val="24"/>
              </w:rPr>
              <w:t>No</w:t>
            </w: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00" w:type="dxa"/>
          </w:tcPr>
          <w:p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00" w:type="dxa"/>
          </w:tcPr>
          <w:p w:rsidR="001C7E35" w:rsidRPr="005E3A10" w:rsidRDefault="00FF509C" w:rsidP="00D835CF">
            <w:pPr>
              <w:pStyle w:val="Infotext"/>
              <w:rPr>
                <w:rFonts w:cs="Arial"/>
                <w:color w:val="FF0000"/>
                <w:sz w:val="24"/>
                <w:szCs w:val="24"/>
              </w:rPr>
            </w:pPr>
            <w:r w:rsidRPr="00FF509C">
              <w:rPr>
                <w:rFonts w:cs="Arial"/>
                <w:sz w:val="24"/>
                <w:szCs w:val="24"/>
              </w:rPr>
              <w:t>Councillor Sachin Shah, Portfolio Holder for Finance and Major Contracts</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00" w:type="dxa"/>
          </w:tcPr>
          <w:p w:rsidR="001C7E35" w:rsidRPr="005E3A10" w:rsidRDefault="00C801D4" w:rsidP="00D835CF">
            <w:pPr>
              <w:pStyle w:val="Infotext"/>
              <w:rPr>
                <w:rFonts w:cs="Arial"/>
                <w:color w:val="FF0000"/>
                <w:sz w:val="24"/>
                <w:szCs w:val="24"/>
              </w:rPr>
            </w:pPr>
            <w:r>
              <w:rPr>
                <w:rFonts w:cs="Arial"/>
                <w:sz w:val="24"/>
                <w:szCs w:val="24"/>
              </w:rPr>
              <w:t>No</w:t>
            </w:r>
          </w:p>
        </w:tc>
      </w:tr>
      <w:tr w:rsidR="001C7E35" w:rsidTr="00FF509C">
        <w:tc>
          <w:tcPr>
            <w:tcW w:w="3510"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00"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1C7E35" w:rsidRPr="005E3A10" w:rsidRDefault="001C7E35" w:rsidP="00D835CF">
            <w:pPr>
              <w:rPr>
                <w:rFonts w:cs="Arial"/>
                <w:szCs w:val="24"/>
              </w:rPr>
            </w:pPr>
          </w:p>
          <w:p w:rsidR="00714BEE" w:rsidRPr="005E3A10" w:rsidRDefault="00714BEE" w:rsidP="00D835CF">
            <w:pPr>
              <w:rPr>
                <w:rFonts w:cs="Arial"/>
                <w:szCs w:val="24"/>
              </w:rPr>
            </w:pPr>
          </w:p>
        </w:tc>
      </w:tr>
      <w:tr w:rsidR="001C7E35" w:rsidTr="00FF509C">
        <w:tc>
          <w:tcPr>
            <w:tcW w:w="3510"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00" w:type="dxa"/>
          </w:tcPr>
          <w:p w:rsidR="001C7E35" w:rsidRPr="005E3A10" w:rsidRDefault="00FF509C" w:rsidP="00D835CF">
            <w:pPr>
              <w:rPr>
                <w:rFonts w:cs="Arial"/>
                <w:szCs w:val="24"/>
              </w:rPr>
            </w:pPr>
            <w:r>
              <w:rPr>
                <w:rFonts w:cs="Arial"/>
                <w:szCs w:val="24"/>
              </w:rPr>
              <w:t>All</w:t>
            </w:r>
          </w:p>
        </w:tc>
      </w:tr>
      <w:tr w:rsidR="001C7E35" w:rsidTr="00FF509C">
        <w:tc>
          <w:tcPr>
            <w:tcW w:w="3510"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00" w:type="dxa"/>
          </w:tcPr>
          <w:p w:rsidR="00FF509C" w:rsidRPr="006B1DE1" w:rsidRDefault="00FF509C" w:rsidP="00FF509C">
            <w:pPr>
              <w:ind w:left="1512" w:right="489" w:hanging="1512"/>
              <w:rPr>
                <w:rFonts w:cs="Arial"/>
              </w:rPr>
            </w:pPr>
            <w:r w:rsidRPr="006B1DE1">
              <w:rPr>
                <w:rFonts w:cs="Arial"/>
              </w:rPr>
              <w:t>Appendix 1 - Revenue Summary</w:t>
            </w:r>
          </w:p>
          <w:p w:rsidR="00FF509C" w:rsidRPr="006B1DE1" w:rsidRDefault="00FF509C" w:rsidP="00FF509C">
            <w:pPr>
              <w:ind w:left="1512" w:right="489" w:hanging="1512"/>
              <w:rPr>
                <w:rFonts w:cs="Arial"/>
              </w:rPr>
            </w:pPr>
            <w:r w:rsidRPr="006B1DE1">
              <w:rPr>
                <w:rFonts w:cs="Arial"/>
              </w:rPr>
              <w:t xml:space="preserve">(Directorates) as at 30 </w:t>
            </w:r>
            <w:r w:rsidR="00C801D4">
              <w:rPr>
                <w:rFonts w:cs="Arial"/>
              </w:rPr>
              <w:t>September</w:t>
            </w:r>
            <w:r w:rsidRPr="006B1DE1">
              <w:rPr>
                <w:rFonts w:cs="Arial"/>
              </w:rPr>
              <w:t xml:space="preserve"> 2015</w:t>
            </w:r>
          </w:p>
          <w:p w:rsidR="00FF509C" w:rsidRPr="006B1DE1" w:rsidRDefault="00FF509C" w:rsidP="00FF509C">
            <w:pPr>
              <w:ind w:left="1506" w:right="489" w:hanging="1506"/>
              <w:rPr>
                <w:rFonts w:cs="Arial"/>
              </w:rPr>
            </w:pPr>
            <w:r w:rsidRPr="006B1DE1">
              <w:rPr>
                <w:rFonts w:cs="Arial"/>
              </w:rPr>
              <w:t>Appendix 2 – MTFS 2015/16 to 2018/19</w:t>
            </w:r>
          </w:p>
          <w:p w:rsidR="00FF509C" w:rsidRPr="006B1DE1" w:rsidRDefault="00FF509C" w:rsidP="00FF509C">
            <w:pPr>
              <w:ind w:left="1506" w:right="489" w:hanging="1506"/>
              <w:rPr>
                <w:rFonts w:cs="Arial"/>
              </w:rPr>
            </w:pPr>
            <w:r w:rsidRPr="006B1DE1">
              <w:rPr>
                <w:rFonts w:cs="Arial"/>
              </w:rPr>
              <w:t>Savings Tracker</w:t>
            </w:r>
          </w:p>
          <w:p w:rsidR="00FF509C" w:rsidRPr="006B1DE1" w:rsidRDefault="00FF509C" w:rsidP="00FF509C">
            <w:pPr>
              <w:pStyle w:val="Heading3"/>
              <w:rPr>
                <w:b w:val="0"/>
                <w:i w:val="0"/>
                <w:szCs w:val="24"/>
              </w:rPr>
            </w:pPr>
            <w:r w:rsidRPr="006B1DE1">
              <w:rPr>
                <w:b w:val="0"/>
                <w:i w:val="0"/>
                <w:szCs w:val="24"/>
              </w:rPr>
              <w:t>Appendix 3 - Debt Management 2015/16</w:t>
            </w:r>
          </w:p>
          <w:p w:rsidR="00FF509C" w:rsidRPr="006B1DE1" w:rsidRDefault="00FF509C" w:rsidP="00FF509C">
            <w:pPr>
              <w:ind w:left="1506" w:hanging="1506"/>
            </w:pPr>
            <w:r w:rsidRPr="006B1DE1">
              <w:t>Appendix 4 – Capital Programme as at 30</w:t>
            </w:r>
          </w:p>
          <w:p w:rsidR="00FF509C" w:rsidRPr="006B1DE1" w:rsidRDefault="00C801D4" w:rsidP="00FF509C">
            <w:pPr>
              <w:ind w:left="1506" w:hanging="1506"/>
            </w:pPr>
            <w:r>
              <w:t>September</w:t>
            </w:r>
            <w:r w:rsidR="00FF509C" w:rsidRPr="006B1DE1">
              <w:t xml:space="preserve"> 2015</w:t>
            </w:r>
          </w:p>
          <w:p w:rsidR="001C7E35" w:rsidRPr="005E3A10" w:rsidRDefault="001C7E35" w:rsidP="00274560">
            <w:pPr>
              <w:ind w:left="34" w:right="489" w:hanging="34"/>
              <w:rPr>
                <w:color w:val="FF0000"/>
                <w:szCs w:val="24"/>
              </w:rPr>
            </w:pPr>
          </w:p>
        </w:tc>
      </w:tr>
    </w:tbl>
    <w:p w:rsidR="00333FAA" w:rsidRDefault="00333FAA" w:rsidP="00333FAA">
      <w:pPr>
        <w:rPr>
          <w:rFonts w:cs="Arial"/>
        </w:rPr>
      </w:pPr>
    </w:p>
    <w:p w:rsidR="004076C8" w:rsidRDefault="004076C8" w:rsidP="00333FAA">
      <w:pPr>
        <w:rPr>
          <w:rFonts w:cs="Arial"/>
        </w:rPr>
      </w:pPr>
    </w:p>
    <w:p w:rsidR="00FF509C" w:rsidRDefault="00FF509C">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FF509C" w:rsidRPr="006B1DE1" w:rsidRDefault="00FF509C" w:rsidP="00FF509C">
            <w:r w:rsidRPr="006B1DE1">
              <w:t xml:space="preserve">This report sets out the Council’s revenue and capital monitoring position as at Quarter </w:t>
            </w:r>
            <w:r w:rsidR="00C801D4">
              <w:t>2</w:t>
            </w:r>
            <w:r w:rsidRPr="006B1DE1">
              <w:t xml:space="preserve"> 2015/16 (30 </w:t>
            </w:r>
            <w:r w:rsidR="00C801D4">
              <w:t>September</w:t>
            </w:r>
            <w:r w:rsidRPr="006B1DE1">
              <w:t xml:space="preserve"> 2015).</w:t>
            </w:r>
          </w:p>
          <w:p w:rsidR="00FF509C" w:rsidRPr="006B1DE1" w:rsidRDefault="00FF509C" w:rsidP="00FF509C"/>
          <w:p w:rsidR="00FF509C" w:rsidRPr="006B1DE1" w:rsidRDefault="00FF509C" w:rsidP="00FF509C">
            <w:pPr>
              <w:pStyle w:val="Heading2"/>
            </w:pPr>
            <w:r w:rsidRPr="006B1DE1">
              <w:t xml:space="preserve">Recommendations: </w:t>
            </w:r>
          </w:p>
          <w:p w:rsidR="00FF509C" w:rsidRPr="006B1DE1" w:rsidRDefault="00FF509C" w:rsidP="00FF509C"/>
          <w:p w:rsidR="00FF509C" w:rsidRPr="006B1DE1" w:rsidRDefault="00FF509C" w:rsidP="002774F4">
            <w:pPr>
              <w:pStyle w:val="ListParagraph"/>
              <w:numPr>
                <w:ilvl w:val="0"/>
                <w:numId w:val="2"/>
              </w:numPr>
            </w:pPr>
            <w:r w:rsidRPr="006B1DE1">
              <w:t xml:space="preserve">That Cabinet note the revenue and capital forecast positions detailed in this report as at Quarter </w:t>
            </w:r>
            <w:r w:rsidR="00C801D4">
              <w:t>2</w:t>
            </w:r>
            <w:r w:rsidRPr="006B1DE1">
              <w:t xml:space="preserve"> 2015/16.</w:t>
            </w:r>
          </w:p>
          <w:p w:rsidR="00FF509C" w:rsidRPr="006B1DE1" w:rsidRDefault="00FF509C" w:rsidP="002774F4">
            <w:pPr>
              <w:pStyle w:val="ListParagraph"/>
              <w:numPr>
                <w:ilvl w:val="0"/>
                <w:numId w:val="2"/>
              </w:numPr>
            </w:pPr>
            <w:r>
              <w:t>Tha</w:t>
            </w:r>
            <w:r w:rsidR="00374CD9">
              <w:t>t Cabinet approves addition</w:t>
            </w:r>
            <w:r w:rsidR="005813FE">
              <w:t>s</w:t>
            </w:r>
            <w:r>
              <w:t xml:space="preserve"> to the capital programme of externally funded </w:t>
            </w:r>
            <w:r w:rsidR="00594CCD">
              <w:t>spend in paragraph</w:t>
            </w:r>
            <w:r w:rsidR="005813FE">
              <w:t xml:space="preserve"> 15</w:t>
            </w:r>
            <w:r w:rsidR="00DC76F0">
              <w:t>4</w:t>
            </w:r>
            <w:r w:rsidR="005813FE">
              <w:t xml:space="preserve"> and 15</w:t>
            </w:r>
            <w:r w:rsidR="00DC76F0">
              <w:t>5</w:t>
            </w:r>
            <w:r w:rsidR="0041077E" w:rsidRPr="00374CD9">
              <w:t>, in</w:t>
            </w:r>
            <w:r w:rsidR="0041077E">
              <w:t xml:space="preserve"> respect of </w:t>
            </w:r>
            <w:r w:rsidR="00097587">
              <w:t xml:space="preserve">an </w:t>
            </w:r>
            <w:r w:rsidR="002C672F">
              <w:t xml:space="preserve">addition to the TfL funded Local Implementation </w:t>
            </w:r>
            <w:r w:rsidR="00CC4B55">
              <w:t>P</w:t>
            </w:r>
            <w:r w:rsidR="002C672F">
              <w:t>lan</w:t>
            </w:r>
            <w:r w:rsidR="005813FE">
              <w:t xml:space="preserve"> and an increase in the budget for Grants to Move</w:t>
            </w:r>
            <w:r w:rsidR="002C672F">
              <w:t>.</w:t>
            </w:r>
          </w:p>
          <w:p w:rsidR="00FF509C" w:rsidRPr="006B1DE1" w:rsidRDefault="00FF509C" w:rsidP="00FF509C">
            <w:r w:rsidRPr="006B1DE1">
              <w:tab/>
            </w:r>
          </w:p>
          <w:p w:rsidR="00FF509C" w:rsidRPr="006B1DE1" w:rsidRDefault="00FF509C" w:rsidP="00FF509C">
            <w:pPr>
              <w:rPr>
                <w:b/>
                <w:sz w:val="28"/>
                <w:szCs w:val="28"/>
              </w:rPr>
            </w:pPr>
            <w:r w:rsidRPr="006B1DE1">
              <w:rPr>
                <w:b/>
                <w:sz w:val="28"/>
                <w:szCs w:val="28"/>
              </w:rPr>
              <w:t>Reason:  (For recommendation )</w:t>
            </w:r>
          </w:p>
          <w:p w:rsidR="00333FAA" w:rsidRDefault="00FF509C" w:rsidP="00FF509C">
            <w:r w:rsidRPr="006B1DE1">
              <w:t xml:space="preserve">To report the 2015/16 forecast financial position as at 30 </w:t>
            </w:r>
            <w:r w:rsidR="00C801D4">
              <w:t>September</w:t>
            </w:r>
            <w:r w:rsidRPr="006B1DE1">
              <w:t xml:space="preserve"> 2015.</w:t>
            </w:r>
          </w:p>
          <w:p w:rsidR="00333FAA" w:rsidRDefault="00333FAA" w:rsidP="00A53B04">
            <w:pPr>
              <w:jc w:val="both"/>
              <w:rPr>
                <w:rFonts w:cs="Arial"/>
              </w:rPr>
            </w:pPr>
          </w:p>
        </w:tc>
      </w:tr>
    </w:tbl>
    <w:p w:rsidR="00333FAA" w:rsidRDefault="00333FAA" w:rsidP="00333FAA">
      <w:pPr>
        <w:pStyle w:val="Heading1"/>
      </w:pPr>
    </w:p>
    <w:p w:rsidR="00741AEB" w:rsidRDefault="00741AEB" w:rsidP="00741AEB">
      <w:pPr>
        <w:pStyle w:val="Heading1"/>
      </w:pPr>
      <w:r w:rsidRPr="006B1DE1">
        <w:t>Section 2 – Report</w:t>
      </w:r>
    </w:p>
    <w:p w:rsidR="00E2312A" w:rsidRDefault="00E2312A" w:rsidP="00AF1127"/>
    <w:p w:rsidR="00E2312A" w:rsidRPr="00D52D46" w:rsidRDefault="00FA5D52" w:rsidP="00AF1127">
      <w:pPr>
        <w:keepNext/>
        <w:spacing w:after="240"/>
        <w:outlineLvl w:val="1"/>
        <w:rPr>
          <w:rFonts w:cs="Arial"/>
          <w:b/>
          <w:bCs/>
          <w:kern w:val="32"/>
          <w:sz w:val="28"/>
          <w:szCs w:val="28"/>
          <w:u w:val="single"/>
        </w:rPr>
      </w:pPr>
      <w:r w:rsidRPr="00D52D46">
        <w:rPr>
          <w:rFonts w:cs="Arial"/>
          <w:b/>
          <w:bCs/>
          <w:kern w:val="32"/>
          <w:sz w:val="28"/>
          <w:szCs w:val="28"/>
          <w:u w:val="single"/>
        </w:rPr>
        <w:t>INTRODUCTION</w:t>
      </w:r>
    </w:p>
    <w:p w:rsidR="00D52D46" w:rsidRPr="003D6C5E" w:rsidRDefault="00FA5D52" w:rsidP="00AF1127">
      <w:pPr>
        <w:pStyle w:val="ListParagraph"/>
        <w:numPr>
          <w:ilvl w:val="0"/>
          <w:numId w:val="9"/>
        </w:numPr>
        <w:spacing w:after="240"/>
        <w:ind w:hanging="720"/>
      </w:pPr>
      <w:r w:rsidRPr="00D52D46">
        <w:t>The net forecast position</w:t>
      </w:r>
      <w:r w:rsidR="0041077E" w:rsidRPr="00D52D46">
        <w:t xml:space="preserve"> at Quarter </w:t>
      </w:r>
      <w:r w:rsidR="00C801D4" w:rsidRPr="00D52D46">
        <w:t>2</w:t>
      </w:r>
      <w:r w:rsidR="0041077E" w:rsidRPr="00D52D46">
        <w:t xml:space="preserve"> on Revenue is for </w:t>
      </w:r>
      <w:proofErr w:type="gramStart"/>
      <w:r w:rsidR="00D52D46" w:rsidRPr="00D52D46">
        <w:t>an</w:t>
      </w:r>
      <w:r w:rsidR="0041077E" w:rsidRPr="00D52D46">
        <w:t xml:space="preserve"> overspend</w:t>
      </w:r>
      <w:proofErr w:type="gramEnd"/>
      <w:r w:rsidR="0041077E" w:rsidRPr="00D52D46">
        <w:t xml:space="preserve"> of £</w:t>
      </w:r>
      <w:r w:rsidR="00935F3A">
        <w:t>1.</w:t>
      </w:r>
      <w:r w:rsidR="00935F3A" w:rsidRPr="003D6C5E">
        <w:t>3</w:t>
      </w:r>
      <w:r w:rsidR="00FB15BC">
        <w:t>03</w:t>
      </w:r>
      <w:r w:rsidR="00935F3A" w:rsidRPr="003D6C5E">
        <w:t>m</w:t>
      </w:r>
      <w:r w:rsidR="0041077E" w:rsidRPr="003D6C5E">
        <w:t xml:space="preserve"> on Directorate budgets</w:t>
      </w:r>
      <w:r w:rsidR="000F0621">
        <w:t xml:space="preserve">, which is after allowing </w:t>
      </w:r>
      <w:r w:rsidR="00EA341D">
        <w:t>for mitigating</w:t>
      </w:r>
      <w:r w:rsidR="000F0621">
        <w:t xml:space="preserve"> actions of £2.837m. This £</w:t>
      </w:r>
      <w:proofErr w:type="gramStart"/>
      <w:r w:rsidR="000F0621">
        <w:t xml:space="preserve">1.303m </w:t>
      </w:r>
      <w:r w:rsidR="0041077E" w:rsidRPr="003D6C5E">
        <w:t xml:space="preserve"> reduces</w:t>
      </w:r>
      <w:proofErr w:type="gramEnd"/>
      <w:r w:rsidR="0041077E" w:rsidRPr="003D6C5E">
        <w:t xml:space="preserve"> to </w:t>
      </w:r>
      <w:r w:rsidR="00935F3A" w:rsidRPr="003D6C5E">
        <w:t>nil after assumed use of contingency of £0.</w:t>
      </w:r>
      <w:r w:rsidR="00B125B1">
        <w:t>665</w:t>
      </w:r>
      <w:r w:rsidR="00935F3A" w:rsidRPr="003D6C5E">
        <w:t>m and £0.638m of savings on central budgets</w:t>
      </w:r>
      <w:r w:rsidR="00D07576">
        <w:t>.</w:t>
      </w:r>
    </w:p>
    <w:p w:rsidR="00E2312A" w:rsidRPr="003D6C5E" w:rsidRDefault="0041077E" w:rsidP="00AF1127">
      <w:pPr>
        <w:pStyle w:val="ListParagraph"/>
        <w:numPr>
          <w:ilvl w:val="0"/>
          <w:numId w:val="9"/>
        </w:numPr>
        <w:spacing w:after="240"/>
        <w:ind w:hanging="720"/>
      </w:pPr>
      <w:r w:rsidRPr="003D6C5E">
        <w:t>The net forecast position on</w:t>
      </w:r>
      <w:r w:rsidR="003D6C5E" w:rsidRPr="003D6C5E">
        <w:t xml:space="preserve"> General Fund</w:t>
      </w:r>
      <w:r w:rsidRPr="003D6C5E">
        <w:t xml:space="preserve"> capital at Quarter </w:t>
      </w:r>
      <w:r w:rsidR="00530EFA">
        <w:t>2</w:t>
      </w:r>
      <w:r w:rsidRPr="003D6C5E">
        <w:t xml:space="preserve"> is for</w:t>
      </w:r>
      <w:r w:rsidR="003D6C5E" w:rsidRPr="003D6C5E">
        <w:t xml:space="preserve"> it to be under budget by </w:t>
      </w:r>
      <w:r w:rsidRPr="003D6C5E">
        <w:t>£</w:t>
      </w:r>
      <w:r w:rsidR="003D6C5E" w:rsidRPr="003D6C5E">
        <w:t>27.358m</w:t>
      </w:r>
      <w:r w:rsidRPr="003D6C5E">
        <w:t>, comprising of slippage of £</w:t>
      </w:r>
      <w:r w:rsidR="003D6C5E" w:rsidRPr="003D6C5E">
        <w:t>25.7</w:t>
      </w:r>
      <w:r w:rsidR="009D4C10">
        <w:t>00</w:t>
      </w:r>
      <w:r w:rsidR="003D6C5E" w:rsidRPr="003D6C5E">
        <w:t>m</w:t>
      </w:r>
      <w:r w:rsidRPr="003D6C5E">
        <w:t xml:space="preserve"> and underspends of £</w:t>
      </w:r>
      <w:r w:rsidR="009D4C10">
        <w:t>1</w:t>
      </w:r>
      <w:r w:rsidR="003D6C5E" w:rsidRPr="003D6C5E">
        <w:t>.</w:t>
      </w:r>
      <w:r w:rsidR="009D4C10">
        <w:t>658</w:t>
      </w:r>
      <w:r w:rsidR="003D6C5E" w:rsidRPr="003D6C5E">
        <w:t>m</w:t>
      </w:r>
      <w:r w:rsidRPr="003D6C5E">
        <w:t>.</w:t>
      </w:r>
      <w:r w:rsidR="003D6C5E" w:rsidRPr="003D6C5E">
        <w:t xml:space="preserve"> </w:t>
      </w:r>
      <w:r w:rsidR="008D67D6" w:rsidRPr="003D6C5E">
        <w:t xml:space="preserve">The forecast for HRA Capital is for spend </w:t>
      </w:r>
      <w:r w:rsidR="008D67D6">
        <w:t xml:space="preserve">to be </w:t>
      </w:r>
      <w:r w:rsidR="008D67D6" w:rsidRPr="003D6C5E">
        <w:t xml:space="preserve">under budget of </w:t>
      </w:r>
      <w:r w:rsidR="000773A9">
        <w:t>£</w:t>
      </w:r>
      <w:r w:rsidR="008D67D6" w:rsidRPr="003D6C5E">
        <w:t>1</w:t>
      </w:r>
      <w:r w:rsidR="006B58A7">
        <w:t>1.</w:t>
      </w:r>
      <w:r w:rsidR="009D4C10">
        <w:t>233</w:t>
      </w:r>
      <w:r w:rsidR="008D67D6" w:rsidRPr="003D6C5E">
        <w:t>m, comprising of slippage of £</w:t>
      </w:r>
      <w:r w:rsidR="009D4C10">
        <w:t>10.635</w:t>
      </w:r>
      <w:r w:rsidR="008D67D6" w:rsidRPr="003D6C5E">
        <w:t xml:space="preserve">m and underspends of £0.598m. </w:t>
      </w:r>
    </w:p>
    <w:p w:rsidR="00741AEB" w:rsidRPr="006B1DE1" w:rsidRDefault="00741AEB" w:rsidP="00741AEB">
      <w:pPr>
        <w:keepNext/>
        <w:outlineLvl w:val="1"/>
        <w:rPr>
          <w:rFonts w:cs="Arial"/>
          <w:b/>
          <w:bCs/>
          <w:kern w:val="32"/>
          <w:sz w:val="28"/>
          <w:szCs w:val="28"/>
          <w:u w:val="single"/>
        </w:rPr>
      </w:pPr>
      <w:r w:rsidRPr="006B1DE1">
        <w:rPr>
          <w:rFonts w:cs="Arial"/>
          <w:b/>
          <w:bCs/>
          <w:kern w:val="32"/>
          <w:sz w:val="28"/>
          <w:szCs w:val="28"/>
          <w:u w:val="single"/>
        </w:rPr>
        <w:t>REVENUE MONITORING</w:t>
      </w:r>
    </w:p>
    <w:p w:rsidR="00741AEB" w:rsidRPr="006B1DE1" w:rsidRDefault="00741AEB" w:rsidP="00741AEB">
      <w:pPr>
        <w:keepNext/>
        <w:outlineLvl w:val="1"/>
        <w:rPr>
          <w:rFonts w:cs="Arial"/>
          <w:b/>
          <w:bCs/>
          <w:kern w:val="32"/>
          <w:sz w:val="28"/>
          <w:szCs w:val="28"/>
        </w:rPr>
      </w:pPr>
    </w:p>
    <w:p w:rsidR="00741AEB" w:rsidRPr="006B1DE1" w:rsidRDefault="00C801D4" w:rsidP="00AF1127">
      <w:pPr>
        <w:pStyle w:val="ListParagraph"/>
        <w:numPr>
          <w:ilvl w:val="0"/>
          <w:numId w:val="9"/>
        </w:numPr>
        <w:spacing w:after="240"/>
        <w:ind w:hanging="720"/>
        <w:jc w:val="both"/>
      </w:pPr>
      <w:r>
        <w:t>The Quarter 2</w:t>
      </w:r>
      <w:r w:rsidR="00935F3A">
        <w:t xml:space="preserve"> forecast indicates </w:t>
      </w:r>
      <w:r w:rsidR="00B35477">
        <w:t xml:space="preserve">a directorate overspend of £4.140m. Mitigating actions have been identified of £2.837m which reduce the directorate overspend to £1.303m. Corporate savings of 0.638m have been identified and these taken together with an assumed use of the corporate contingency of £0.665m enable a balanced position to be achieved. </w:t>
      </w:r>
      <w:r w:rsidR="00EA6835">
        <w:t>The achievement of a balanced position includes one-off savings of £4m, mainly the use of reserves</w:t>
      </w:r>
      <w:r w:rsidR="00105119">
        <w:t xml:space="preserve"> and directorates continue to seek further on-going mitigating actions</w:t>
      </w:r>
      <w:r w:rsidR="00EA6835">
        <w:t>.</w:t>
      </w:r>
      <w:r w:rsidR="00BA3AB5">
        <w:t xml:space="preserve"> </w:t>
      </w:r>
    </w:p>
    <w:p w:rsidR="00741AEB" w:rsidRPr="006B1DE1" w:rsidRDefault="00741AEB" w:rsidP="00AF1127">
      <w:pPr>
        <w:pStyle w:val="ListParagraph"/>
        <w:numPr>
          <w:ilvl w:val="0"/>
          <w:numId w:val="9"/>
        </w:numPr>
        <w:ind w:hanging="720"/>
        <w:jc w:val="both"/>
      </w:pPr>
      <w:r w:rsidRPr="006B1DE1">
        <w:t xml:space="preserve">Cabinet agreed in year savings of £2.468m in July for implementation with immediate effect.  The savings were agreed to contribute £1m each to reserves for Welfare Reform/ Homelessness and for Commercialisation and £468k to the MTFS implementation reserve. The variances now reported allow for these savings being achieved in </w:t>
      </w:r>
      <w:r w:rsidRPr="006B1DE1">
        <w:lastRenderedPageBreak/>
        <w:t xml:space="preserve">full. Table 1 below summarises the Quarter </w:t>
      </w:r>
      <w:r w:rsidR="00C801D4">
        <w:t>2</w:t>
      </w:r>
      <w:r w:rsidRPr="006B1DE1">
        <w:t xml:space="preserve"> revenue position and Appendix 1 provides more detail:</w:t>
      </w:r>
    </w:p>
    <w:p w:rsidR="00741AEB" w:rsidRPr="006B1DE1" w:rsidRDefault="00741AEB" w:rsidP="00741AEB">
      <w:pPr>
        <w:rPr>
          <w:rFonts w:cs="Arial"/>
          <w:szCs w:val="24"/>
        </w:rPr>
      </w:pPr>
    </w:p>
    <w:p w:rsidR="00741AEB" w:rsidRDefault="00741AEB" w:rsidP="00BB7370">
      <w:pPr>
        <w:rPr>
          <w:rFonts w:cs="Arial"/>
          <w:b/>
          <w:u w:val="single"/>
        </w:rPr>
      </w:pPr>
      <w:r w:rsidRPr="006B1DE1">
        <w:rPr>
          <w:rFonts w:cs="Arial"/>
          <w:b/>
          <w:u w:val="single"/>
        </w:rPr>
        <w:t xml:space="preserve">Table 1: Revenue Monitoring – Quarter </w:t>
      </w:r>
      <w:r w:rsidR="00C801D4">
        <w:rPr>
          <w:rFonts w:cs="Arial"/>
          <w:b/>
          <w:u w:val="single"/>
        </w:rPr>
        <w:t>2</w:t>
      </w:r>
      <w:r w:rsidRPr="006B1DE1">
        <w:rPr>
          <w:rFonts w:cs="Arial"/>
          <w:b/>
          <w:u w:val="single"/>
        </w:rPr>
        <w:t xml:space="preserve"> 2015/16 </w:t>
      </w:r>
    </w:p>
    <w:p w:rsidR="00AB4C90" w:rsidRDefault="00A323D9" w:rsidP="00741AEB">
      <w:pPr>
        <w:spacing w:after="120"/>
        <w:ind w:right="488"/>
        <w:jc w:val="both"/>
        <w:rPr>
          <w:rFonts w:cs="Arial"/>
          <w:b/>
          <w:u w:val="single"/>
        </w:rPr>
      </w:pPr>
      <w:r w:rsidRPr="00A323D9">
        <w:rPr>
          <w:noProof/>
          <w:lang w:eastAsia="en-GB"/>
        </w:rPr>
        <w:drawing>
          <wp:inline distT="0" distB="0" distL="0" distR="0" wp14:anchorId="107C0DC9" wp14:editId="022992FE">
            <wp:extent cx="5276215" cy="185061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1850613"/>
                    </a:xfrm>
                    <a:prstGeom prst="rect">
                      <a:avLst/>
                    </a:prstGeom>
                    <a:noFill/>
                    <a:ln>
                      <a:noFill/>
                    </a:ln>
                  </pic:spPr>
                </pic:pic>
              </a:graphicData>
            </a:graphic>
          </wp:inline>
        </w:drawing>
      </w:r>
    </w:p>
    <w:p w:rsidR="00741AEB" w:rsidRPr="006B1DE1" w:rsidRDefault="00741AEB" w:rsidP="00741AEB">
      <w:pPr>
        <w:pStyle w:val="Heading4"/>
      </w:pPr>
      <w:r w:rsidRPr="006B1DE1">
        <w:t>RESOURCES</w:t>
      </w:r>
      <w:r w:rsidR="00CF1B0C">
        <w:t xml:space="preserve"> &amp; COMMERCIAL</w:t>
      </w:r>
    </w:p>
    <w:p w:rsidR="00741AEB" w:rsidRPr="006B1DE1" w:rsidRDefault="00741AEB" w:rsidP="00741AEB">
      <w:pPr>
        <w:keepNext/>
        <w:outlineLvl w:val="1"/>
        <w:rPr>
          <w:rFonts w:cs="Arial"/>
          <w:szCs w:val="22"/>
        </w:rPr>
      </w:pPr>
    </w:p>
    <w:p w:rsidR="00CF1B0C" w:rsidRPr="00CF1B0C" w:rsidRDefault="00CF1B0C" w:rsidP="00CF1B0C">
      <w:pPr>
        <w:pStyle w:val="ListParagraph"/>
        <w:numPr>
          <w:ilvl w:val="0"/>
          <w:numId w:val="9"/>
        </w:numPr>
        <w:ind w:hanging="720"/>
        <w:rPr>
          <w:rFonts w:cs="Arial"/>
          <w:bCs/>
          <w:szCs w:val="24"/>
        </w:rPr>
      </w:pPr>
      <w:bookmarkStart w:id="0" w:name="_Toc372706214"/>
      <w:r w:rsidRPr="00CF1B0C">
        <w:rPr>
          <w:rFonts w:cs="Arial"/>
          <w:bCs/>
          <w:szCs w:val="24"/>
        </w:rPr>
        <w:t xml:space="preserve">At </w:t>
      </w:r>
      <w:r>
        <w:rPr>
          <w:rFonts w:cs="Arial"/>
          <w:bCs/>
          <w:szCs w:val="24"/>
        </w:rPr>
        <w:t>Q</w:t>
      </w:r>
      <w:r w:rsidRPr="00CF1B0C">
        <w:rPr>
          <w:rFonts w:cs="Arial"/>
          <w:bCs/>
          <w:szCs w:val="24"/>
        </w:rPr>
        <w:t xml:space="preserve">uarter 2, Resources </w:t>
      </w:r>
      <w:r>
        <w:rPr>
          <w:rFonts w:cs="Arial"/>
          <w:bCs/>
          <w:szCs w:val="24"/>
        </w:rPr>
        <w:t xml:space="preserve">and Commercial </w:t>
      </w:r>
      <w:r w:rsidRPr="00CF1B0C">
        <w:rPr>
          <w:rFonts w:cs="Arial"/>
          <w:bCs/>
          <w:szCs w:val="24"/>
        </w:rPr>
        <w:t>is forecast to underspend by (£4</w:t>
      </w:r>
      <w:r w:rsidR="00351735">
        <w:rPr>
          <w:rFonts w:cs="Arial"/>
          <w:bCs/>
          <w:szCs w:val="24"/>
        </w:rPr>
        <w:t>3</w:t>
      </w:r>
      <w:r w:rsidRPr="00CF1B0C">
        <w:rPr>
          <w:rFonts w:cs="Arial"/>
          <w:bCs/>
          <w:szCs w:val="24"/>
        </w:rPr>
        <w:t>k), a</w:t>
      </w:r>
      <w:r w:rsidR="0068735C">
        <w:rPr>
          <w:rFonts w:cs="Arial"/>
          <w:bCs/>
          <w:szCs w:val="24"/>
        </w:rPr>
        <w:t xml:space="preserve"> </w:t>
      </w:r>
      <w:r w:rsidR="00351735">
        <w:rPr>
          <w:rFonts w:cs="Arial"/>
          <w:bCs/>
          <w:szCs w:val="24"/>
        </w:rPr>
        <w:t>reduction</w:t>
      </w:r>
      <w:r w:rsidR="0068735C">
        <w:rPr>
          <w:rFonts w:cs="Arial"/>
          <w:bCs/>
          <w:szCs w:val="24"/>
        </w:rPr>
        <w:t xml:space="preserve"> in the forecast underspend</w:t>
      </w:r>
      <w:r w:rsidRPr="00CF1B0C">
        <w:rPr>
          <w:rFonts w:cs="Arial"/>
          <w:bCs/>
          <w:szCs w:val="24"/>
        </w:rPr>
        <w:t xml:space="preserve"> of (1</w:t>
      </w:r>
      <w:r w:rsidR="00351735">
        <w:rPr>
          <w:rFonts w:cs="Arial"/>
          <w:bCs/>
          <w:szCs w:val="24"/>
        </w:rPr>
        <w:t>9</w:t>
      </w:r>
      <w:r w:rsidRPr="00CF1B0C">
        <w:rPr>
          <w:rFonts w:cs="Arial"/>
          <w:bCs/>
          <w:szCs w:val="24"/>
        </w:rPr>
        <w:t>k) when compared to quarter</w:t>
      </w:r>
      <w:r>
        <w:rPr>
          <w:rFonts w:cs="Arial"/>
          <w:bCs/>
          <w:szCs w:val="24"/>
        </w:rPr>
        <w:t xml:space="preserve"> 1</w:t>
      </w:r>
      <w:r w:rsidRPr="00CF1B0C">
        <w:rPr>
          <w:rFonts w:cs="Arial"/>
          <w:bCs/>
          <w:szCs w:val="24"/>
        </w:rPr>
        <w:t xml:space="preserve">.  </w:t>
      </w:r>
    </w:p>
    <w:p w:rsidR="00CF1B0C" w:rsidRPr="00CF1B0C" w:rsidRDefault="00CF1B0C" w:rsidP="00CF1B0C">
      <w:pPr>
        <w:ind w:left="360" w:hanging="720"/>
        <w:rPr>
          <w:rFonts w:cs="Arial"/>
          <w:bCs/>
          <w:szCs w:val="24"/>
        </w:rPr>
      </w:pPr>
    </w:p>
    <w:p w:rsidR="00CF1B0C" w:rsidRPr="00CF1B0C" w:rsidRDefault="00CF1B0C" w:rsidP="00351735">
      <w:pPr>
        <w:pStyle w:val="ListParagraph"/>
        <w:numPr>
          <w:ilvl w:val="0"/>
          <w:numId w:val="9"/>
        </w:numPr>
        <w:spacing w:after="240"/>
        <w:ind w:hanging="720"/>
        <w:rPr>
          <w:rFonts w:cs="Arial"/>
          <w:bCs/>
          <w:szCs w:val="24"/>
        </w:rPr>
      </w:pPr>
      <w:r w:rsidRPr="00CF1B0C">
        <w:rPr>
          <w:rFonts w:cs="Arial"/>
          <w:bCs/>
          <w:szCs w:val="24"/>
        </w:rPr>
        <w:t>The</w:t>
      </w:r>
      <w:r w:rsidR="00B42144">
        <w:rPr>
          <w:rFonts w:cs="Arial"/>
          <w:bCs/>
          <w:szCs w:val="24"/>
        </w:rPr>
        <w:t>re have been a number of reasons</w:t>
      </w:r>
      <w:r w:rsidRPr="00CF1B0C">
        <w:rPr>
          <w:rFonts w:cs="Arial"/>
          <w:bCs/>
          <w:szCs w:val="24"/>
        </w:rPr>
        <w:t xml:space="preserve"> for the </w:t>
      </w:r>
      <w:r w:rsidR="00B42144">
        <w:rPr>
          <w:rFonts w:cs="Arial"/>
          <w:bCs/>
          <w:szCs w:val="24"/>
        </w:rPr>
        <w:t xml:space="preserve">net </w:t>
      </w:r>
      <w:r w:rsidRPr="00CF1B0C">
        <w:rPr>
          <w:rFonts w:cs="Arial"/>
          <w:bCs/>
          <w:szCs w:val="24"/>
        </w:rPr>
        <w:t>movement of (£1</w:t>
      </w:r>
      <w:r w:rsidR="008E2A4B">
        <w:rPr>
          <w:rFonts w:cs="Arial"/>
          <w:bCs/>
          <w:szCs w:val="24"/>
        </w:rPr>
        <w:t>9</w:t>
      </w:r>
      <w:r w:rsidRPr="00CF1B0C">
        <w:rPr>
          <w:rFonts w:cs="Arial"/>
          <w:bCs/>
          <w:szCs w:val="24"/>
        </w:rPr>
        <w:t>k) between quarter 1 and 2 are listed below:</w:t>
      </w:r>
    </w:p>
    <w:p w:rsidR="00CF1B0C" w:rsidRPr="00AB4C90" w:rsidRDefault="00AB4C90" w:rsidP="00AB4C90">
      <w:pPr>
        <w:ind w:left="360" w:hanging="360"/>
        <w:rPr>
          <w:rFonts w:cs="Arial"/>
          <w:b/>
          <w:bCs/>
          <w:szCs w:val="24"/>
        </w:rPr>
      </w:pPr>
      <w:r w:rsidRPr="00AB4C90">
        <w:rPr>
          <w:rFonts w:cs="Arial"/>
          <w:b/>
          <w:bCs/>
          <w:szCs w:val="24"/>
        </w:rPr>
        <w:t>Underspends</w:t>
      </w:r>
    </w:p>
    <w:p w:rsidR="00CF1B0C" w:rsidRPr="00CF1B0C" w:rsidRDefault="00CF1B0C" w:rsidP="00410E11">
      <w:pPr>
        <w:pStyle w:val="ListParagraph"/>
        <w:numPr>
          <w:ilvl w:val="0"/>
          <w:numId w:val="9"/>
        </w:numPr>
        <w:spacing w:after="240"/>
        <w:ind w:hanging="720"/>
        <w:rPr>
          <w:rFonts w:cs="Arial"/>
          <w:bCs/>
          <w:szCs w:val="24"/>
        </w:rPr>
      </w:pPr>
      <w:r w:rsidRPr="00CF1B0C">
        <w:rPr>
          <w:rFonts w:cs="Arial"/>
          <w:bCs/>
          <w:szCs w:val="24"/>
        </w:rPr>
        <w:t>Unapplied accrual in Community Lettings (£41k).</w:t>
      </w:r>
    </w:p>
    <w:p w:rsidR="00CF1B0C" w:rsidRPr="00CF1B0C" w:rsidRDefault="00CF1B0C" w:rsidP="00410E11">
      <w:pPr>
        <w:pStyle w:val="ListParagraph"/>
        <w:numPr>
          <w:ilvl w:val="0"/>
          <w:numId w:val="9"/>
        </w:numPr>
        <w:spacing w:after="240"/>
        <w:ind w:hanging="720"/>
        <w:rPr>
          <w:rFonts w:cs="Arial"/>
          <w:bCs/>
          <w:szCs w:val="24"/>
        </w:rPr>
      </w:pPr>
      <w:proofErr w:type="gramStart"/>
      <w:r w:rsidRPr="00CF1B0C">
        <w:rPr>
          <w:rFonts w:cs="Arial"/>
          <w:bCs/>
          <w:szCs w:val="24"/>
        </w:rPr>
        <w:t>Vacancy freeze</w:t>
      </w:r>
      <w:proofErr w:type="gramEnd"/>
      <w:r w:rsidRPr="00CF1B0C">
        <w:rPr>
          <w:rFonts w:cs="Arial"/>
          <w:bCs/>
          <w:szCs w:val="24"/>
        </w:rPr>
        <w:t xml:space="preserve"> in HR and other non-staffing budgets that will not be utilised this year (£110K)</w:t>
      </w:r>
      <w:r w:rsidR="00B42144">
        <w:rPr>
          <w:rFonts w:cs="Arial"/>
          <w:bCs/>
          <w:szCs w:val="24"/>
        </w:rPr>
        <w:t>.</w:t>
      </w:r>
    </w:p>
    <w:p w:rsidR="00CF1B0C" w:rsidRPr="00CF1B0C" w:rsidRDefault="00B95775" w:rsidP="00410E11">
      <w:pPr>
        <w:pStyle w:val="ListParagraph"/>
        <w:numPr>
          <w:ilvl w:val="0"/>
          <w:numId w:val="9"/>
        </w:numPr>
        <w:spacing w:after="240"/>
        <w:ind w:hanging="720"/>
        <w:rPr>
          <w:rFonts w:cs="Arial"/>
          <w:bCs/>
          <w:szCs w:val="24"/>
        </w:rPr>
      </w:pPr>
      <w:r w:rsidRPr="00CF1B0C">
        <w:rPr>
          <w:rFonts w:cs="Arial"/>
          <w:bCs/>
          <w:szCs w:val="24"/>
        </w:rPr>
        <w:t>Reduction in expected spends</w:t>
      </w:r>
      <w:r w:rsidR="00CF1B0C" w:rsidRPr="00CF1B0C">
        <w:rPr>
          <w:rFonts w:cs="Arial"/>
          <w:bCs/>
          <w:szCs w:val="24"/>
        </w:rPr>
        <w:t xml:space="preserve"> of moving ICT equipment from Capita’s site to Harrow (£76k)</w:t>
      </w:r>
      <w:r w:rsidR="00B42144">
        <w:rPr>
          <w:rFonts w:cs="Arial"/>
          <w:bCs/>
          <w:szCs w:val="24"/>
        </w:rPr>
        <w:t>.</w:t>
      </w:r>
    </w:p>
    <w:p w:rsidR="00CF1B0C" w:rsidRPr="00CF1B0C" w:rsidRDefault="00CF1B0C" w:rsidP="00410E11">
      <w:pPr>
        <w:pStyle w:val="ListParagraph"/>
        <w:numPr>
          <w:ilvl w:val="0"/>
          <w:numId w:val="9"/>
        </w:numPr>
        <w:spacing w:after="240"/>
        <w:ind w:hanging="720"/>
        <w:rPr>
          <w:rFonts w:cs="Arial"/>
          <w:bCs/>
          <w:szCs w:val="24"/>
        </w:rPr>
      </w:pPr>
      <w:r w:rsidRPr="00CF1B0C">
        <w:rPr>
          <w:rFonts w:cs="Arial"/>
          <w:bCs/>
          <w:szCs w:val="24"/>
        </w:rPr>
        <w:t>Further underspend on printing budget that will not be needed this year (£94k)</w:t>
      </w:r>
      <w:r w:rsidR="00B42144">
        <w:rPr>
          <w:rFonts w:cs="Arial"/>
          <w:bCs/>
          <w:szCs w:val="24"/>
        </w:rPr>
        <w:t>.</w:t>
      </w: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Increase in income from service level of agreement with schools will result in further underspend of (£41k)</w:t>
      </w:r>
      <w:r w:rsidR="00B42144">
        <w:rPr>
          <w:rFonts w:cs="Arial"/>
          <w:bCs/>
          <w:szCs w:val="24"/>
        </w:rPr>
        <w:t>.</w:t>
      </w:r>
    </w:p>
    <w:p w:rsidR="00CF1B0C" w:rsidRPr="00CF1B0C" w:rsidRDefault="00CF1B0C" w:rsidP="00CF1B0C">
      <w:pPr>
        <w:ind w:left="360" w:hanging="720"/>
        <w:rPr>
          <w:rFonts w:cs="Arial"/>
          <w:bCs/>
          <w:szCs w:val="24"/>
        </w:rPr>
      </w:pP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 xml:space="preserve">Within the Business transformation project team, because of the delay in the delivery of Wi-Fi and share point, secondment and capitalisation, there will be a staffing </w:t>
      </w:r>
      <w:r w:rsidR="00B95775" w:rsidRPr="00CF1B0C">
        <w:rPr>
          <w:rFonts w:cs="Arial"/>
          <w:bCs/>
          <w:szCs w:val="24"/>
        </w:rPr>
        <w:t>underspends</w:t>
      </w:r>
      <w:r w:rsidRPr="00CF1B0C">
        <w:rPr>
          <w:rFonts w:cs="Arial"/>
          <w:bCs/>
          <w:szCs w:val="24"/>
        </w:rPr>
        <w:t xml:space="preserve"> of (£140k).</w:t>
      </w:r>
    </w:p>
    <w:p w:rsidR="00CF1B0C" w:rsidRPr="00CF1B0C" w:rsidRDefault="00CF1B0C" w:rsidP="00CF1B0C">
      <w:pPr>
        <w:ind w:left="360" w:hanging="720"/>
        <w:rPr>
          <w:rFonts w:cs="Arial"/>
          <w:bCs/>
          <w:szCs w:val="24"/>
        </w:rPr>
      </w:pP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 xml:space="preserve">There is </w:t>
      </w:r>
      <w:proofErr w:type="gramStart"/>
      <w:r w:rsidRPr="00CF1B0C">
        <w:rPr>
          <w:rFonts w:cs="Arial"/>
          <w:bCs/>
          <w:szCs w:val="24"/>
        </w:rPr>
        <w:t>an underspend</w:t>
      </w:r>
      <w:proofErr w:type="gramEnd"/>
      <w:r w:rsidRPr="00CF1B0C">
        <w:rPr>
          <w:rFonts w:cs="Arial"/>
          <w:bCs/>
          <w:szCs w:val="24"/>
        </w:rPr>
        <w:t xml:space="preserve"> on holding vacancy that will not be recruited to this year within the Business Intelligence team (62k)</w:t>
      </w:r>
      <w:r w:rsidR="00B42144">
        <w:rPr>
          <w:rFonts w:cs="Arial"/>
          <w:bCs/>
          <w:szCs w:val="24"/>
        </w:rPr>
        <w:t>.</w:t>
      </w:r>
    </w:p>
    <w:p w:rsidR="00CF1B0C" w:rsidRPr="00CF1B0C" w:rsidRDefault="00CF1B0C" w:rsidP="00CF1B0C">
      <w:pPr>
        <w:ind w:left="360" w:hanging="720"/>
        <w:rPr>
          <w:rFonts w:cs="Arial"/>
          <w:bCs/>
          <w:szCs w:val="24"/>
        </w:rPr>
      </w:pPr>
    </w:p>
    <w:p w:rsidR="00CF1B0C" w:rsidRPr="00CF1B0C" w:rsidRDefault="00CF1B0C" w:rsidP="00410E11">
      <w:pPr>
        <w:pStyle w:val="ListParagraph"/>
        <w:numPr>
          <w:ilvl w:val="0"/>
          <w:numId w:val="9"/>
        </w:numPr>
        <w:spacing w:after="240"/>
        <w:ind w:hanging="720"/>
        <w:rPr>
          <w:rFonts w:cs="Arial"/>
          <w:bCs/>
          <w:szCs w:val="24"/>
        </w:rPr>
      </w:pPr>
      <w:r w:rsidRPr="00CF1B0C">
        <w:rPr>
          <w:rFonts w:cs="Arial"/>
          <w:bCs/>
          <w:szCs w:val="24"/>
        </w:rPr>
        <w:t>The above underspends are largely offset by:</w:t>
      </w:r>
    </w:p>
    <w:p w:rsidR="00CF1B0C" w:rsidRPr="00AB4C90" w:rsidRDefault="00AB4C90" w:rsidP="00AB4C90">
      <w:pPr>
        <w:ind w:left="360" w:hanging="360"/>
        <w:rPr>
          <w:rFonts w:cs="Arial"/>
          <w:b/>
          <w:bCs/>
          <w:szCs w:val="24"/>
        </w:rPr>
      </w:pPr>
      <w:r w:rsidRPr="00AB4C90">
        <w:rPr>
          <w:rFonts w:cs="Arial"/>
          <w:b/>
          <w:bCs/>
          <w:szCs w:val="24"/>
        </w:rPr>
        <w:t>Overspends</w:t>
      </w: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The new initiative at DWP, specifically Real Time Information Bulk Data exercise (RTI) has resulted in a higher than normal increase in the raising of Housing Benefit  overpayment debts which unfortunately is increasing the overpayments figures and add</w:t>
      </w:r>
      <w:r w:rsidR="00410E11">
        <w:rPr>
          <w:rFonts w:cs="Arial"/>
          <w:bCs/>
          <w:szCs w:val="24"/>
        </w:rPr>
        <w:t>s</w:t>
      </w:r>
      <w:r w:rsidRPr="00CF1B0C">
        <w:rPr>
          <w:rFonts w:cs="Arial"/>
          <w:bCs/>
          <w:szCs w:val="24"/>
        </w:rPr>
        <w:t xml:space="preserve"> further pressure to the already reported bad debt provision</w:t>
      </w:r>
      <w:r w:rsidR="00AB4C90">
        <w:rPr>
          <w:rFonts w:cs="Arial"/>
          <w:bCs/>
          <w:szCs w:val="24"/>
        </w:rPr>
        <w:t xml:space="preserve">. At quarter 1 this was reported as £250k but the latest forecast is for </w:t>
      </w:r>
      <w:proofErr w:type="gramStart"/>
      <w:r w:rsidR="00AB4C90">
        <w:rPr>
          <w:rFonts w:cs="Arial"/>
          <w:bCs/>
          <w:szCs w:val="24"/>
        </w:rPr>
        <w:t>the ov</w:t>
      </w:r>
      <w:r w:rsidR="002E5AF5">
        <w:rPr>
          <w:rFonts w:cs="Arial"/>
          <w:bCs/>
          <w:szCs w:val="24"/>
        </w:rPr>
        <w:t>erspend</w:t>
      </w:r>
      <w:proofErr w:type="gramEnd"/>
      <w:r w:rsidR="002E5AF5">
        <w:rPr>
          <w:rFonts w:cs="Arial"/>
          <w:bCs/>
          <w:szCs w:val="24"/>
        </w:rPr>
        <w:t xml:space="preserve"> to be £45</w:t>
      </w:r>
      <w:r w:rsidR="00AB4C90">
        <w:rPr>
          <w:rFonts w:cs="Arial"/>
          <w:bCs/>
          <w:szCs w:val="24"/>
        </w:rPr>
        <w:t>0k.</w:t>
      </w:r>
    </w:p>
    <w:p w:rsidR="00CF1B0C" w:rsidRPr="00CF1B0C" w:rsidRDefault="00CF1B0C" w:rsidP="00CF1B0C">
      <w:pPr>
        <w:ind w:left="360" w:hanging="720"/>
        <w:rPr>
          <w:rFonts w:cs="Arial"/>
          <w:bCs/>
          <w:szCs w:val="24"/>
        </w:rPr>
      </w:pP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Relocation of Telephony, Framework-</w:t>
      </w:r>
      <w:proofErr w:type="spellStart"/>
      <w:r w:rsidRPr="00CF1B0C">
        <w:rPr>
          <w:rFonts w:cs="Arial"/>
          <w:bCs/>
          <w:szCs w:val="24"/>
        </w:rPr>
        <w:t>i</w:t>
      </w:r>
      <w:proofErr w:type="spellEnd"/>
      <w:r w:rsidRPr="00CF1B0C">
        <w:rPr>
          <w:rFonts w:cs="Arial"/>
          <w:bCs/>
          <w:szCs w:val="24"/>
        </w:rPr>
        <w:t xml:space="preserve"> and other IT equipment from its current location to the civic centre will result in an additional £215k payment to Capita.</w:t>
      </w:r>
    </w:p>
    <w:p w:rsidR="00CF1B0C" w:rsidRPr="00CF1B0C" w:rsidRDefault="00CF1B0C" w:rsidP="00CF1B0C">
      <w:pPr>
        <w:ind w:left="360" w:hanging="720"/>
        <w:rPr>
          <w:rFonts w:cs="Arial"/>
          <w:bCs/>
          <w:szCs w:val="24"/>
        </w:rPr>
      </w:pPr>
    </w:p>
    <w:p w:rsidR="00CF1B0C" w:rsidRPr="00CF1B0C" w:rsidRDefault="00CF1B0C" w:rsidP="00CF1B0C">
      <w:pPr>
        <w:pStyle w:val="ListParagraph"/>
        <w:numPr>
          <w:ilvl w:val="0"/>
          <w:numId w:val="9"/>
        </w:numPr>
        <w:ind w:hanging="720"/>
        <w:rPr>
          <w:rFonts w:cs="Arial"/>
          <w:bCs/>
          <w:szCs w:val="24"/>
        </w:rPr>
      </w:pPr>
      <w:r w:rsidRPr="00CF1B0C">
        <w:rPr>
          <w:rFonts w:cs="Arial"/>
          <w:bCs/>
          <w:szCs w:val="24"/>
        </w:rPr>
        <w:t>Extra staffing  resource within the Revenue and Benefit team in order to reduce  housing benefit case load  and performance which will in turn reduce the call waiting time £80k.</w:t>
      </w:r>
    </w:p>
    <w:p w:rsidR="00CF1B0C" w:rsidRPr="00CF1B0C" w:rsidRDefault="00CF1B0C" w:rsidP="00CF1B0C">
      <w:pPr>
        <w:ind w:left="360"/>
        <w:rPr>
          <w:rFonts w:cs="Arial"/>
          <w:bCs/>
          <w:szCs w:val="24"/>
        </w:rPr>
      </w:pPr>
    </w:p>
    <w:p w:rsidR="00CF1B0C" w:rsidRPr="00CF1B0C" w:rsidRDefault="00AB4C90" w:rsidP="00CF1B0C">
      <w:pPr>
        <w:pStyle w:val="ListParagraph"/>
        <w:numPr>
          <w:ilvl w:val="0"/>
          <w:numId w:val="9"/>
        </w:numPr>
        <w:ind w:hanging="720"/>
        <w:rPr>
          <w:rFonts w:cs="Arial"/>
          <w:bCs/>
          <w:szCs w:val="24"/>
        </w:rPr>
      </w:pPr>
      <w:r>
        <w:rPr>
          <w:rFonts w:cs="Arial"/>
          <w:bCs/>
          <w:szCs w:val="24"/>
        </w:rPr>
        <w:t>A c</w:t>
      </w:r>
      <w:r w:rsidR="00CF1B0C" w:rsidRPr="00CF1B0C">
        <w:rPr>
          <w:rFonts w:cs="Arial"/>
          <w:bCs/>
          <w:szCs w:val="24"/>
        </w:rPr>
        <w:t xml:space="preserve">hange to </w:t>
      </w:r>
      <w:r>
        <w:rPr>
          <w:rFonts w:cs="Arial"/>
          <w:bCs/>
          <w:szCs w:val="24"/>
        </w:rPr>
        <w:t xml:space="preserve">the way </w:t>
      </w:r>
      <w:r w:rsidR="00CF1B0C" w:rsidRPr="00CF1B0C">
        <w:rPr>
          <w:rFonts w:cs="Arial"/>
          <w:bCs/>
          <w:szCs w:val="24"/>
        </w:rPr>
        <w:t xml:space="preserve">debit card </w:t>
      </w:r>
      <w:r>
        <w:rPr>
          <w:rFonts w:cs="Arial"/>
          <w:bCs/>
          <w:szCs w:val="24"/>
        </w:rPr>
        <w:t xml:space="preserve">transaction </w:t>
      </w:r>
      <w:r w:rsidR="00CF1B0C" w:rsidRPr="00CF1B0C">
        <w:rPr>
          <w:rFonts w:cs="Arial"/>
          <w:bCs/>
          <w:szCs w:val="24"/>
        </w:rPr>
        <w:t>charges</w:t>
      </w:r>
      <w:r>
        <w:rPr>
          <w:rFonts w:cs="Arial"/>
          <w:bCs/>
          <w:szCs w:val="24"/>
        </w:rPr>
        <w:t xml:space="preserve"> are calculated</w:t>
      </w:r>
      <w:r w:rsidR="00CF1B0C" w:rsidRPr="00CF1B0C">
        <w:rPr>
          <w:rFonts w:cs="Arial"/>
          <w:bCs/>
          <w:szCs w:val="24"/>
        </w:rPr>
        <w:t xml:space="preserve"> from 12p per transaction to 0.363% of transaction value will result in </w:t>
      </w:r>
      <w:proofErr w:type="gramStart"/>
      <w:r>
        <w:rPr>
          <w:rFonts w:cs="Arial"/>
          <w:bCs/>
          <w:szCs w:val="24"/>
        </w:rPr>
        <w:t xml:space="preserve">an </w:t>
      </w:r>
      <w:r w:rsidR="00CF1B0C" w:rsidRPr="00CF1B0C">
        <w:rPr>
          <w:rFonts w:cs="Arial"/>
          <w:bCs/>
          <w:szCs w:val="24"/>
        </w:rPr>
        <w:t>overspend</w:t>
      </w:r>
      <w:proofErr w:type="gramEnd"/>
      <w:r w:rsidR="00CF1B0C" w:rsidRPr="00CF1B0C">
        <w:rPr>
          <w:rFonts w:cs="Arial"/>
          <w:bCs/>
          <w:szCs w:val="24"/>
        </w:rPr>
        <w:t xml:space="preserve"> of £101k.</w:t>
      </w:r>
    </w:p>
    <w:p w:rsidR="00741AEB" w:rsidRPr="006B1DE1" w:rsidRDefault="00741AEB" w:rsidP="00741AEB">
      <w:pPr>
        <w:ind w:hanging="720"/>
        <w:rPr>
          <w:szCs w:val="24"/>
        </w:rPr>
      </w:pPr>
    </w:p>
    <w:p w:rsidR="00741AEB" w:rsidRPr="006B1DE1" w:rsidRDefault="00741AEB" w:rsidP="00AF1127">
      <w:pPr>
        <w:numPr>
          <w:ilvl w:val="0"/>
          <w:numId w:val="9"/>
        </w:numPr>
        <w:ind w:hanging="720"/>
        <w:rPr>
          <w:rFonts w:cs="Arial"/>
          <w:bCs/>
          <w:szCs w:val="24"/>
        </w:rPr>
      </w:pPr>
      <w:r w:rsidRPr="006B1DE1">
        <w:rPr>
          <w:rFonts w:cs="Arial"/>
          <w:bCs/>
          <w:szCs w:val="24"/>
        </w:rPr>
        <w:t xml:space="preserve">The Occupational Health MTFS saving of £100k will only be partly met due to the Government’s fit for work scheme being delayed until October </w:t>
      </w:r>
      <w:proofErr w:type="gramStart"/>
      <w:r w:rsidRPr="006B1DE1">
        <w:rPr>
          <w:rFonts w:cs="Arial"/>
          <w:bCs/>
          <w:szCs w:val="24"/>
        </w:rPr>
        <w:t>2015,</w:t>
      </w:r>
      <w:proofErr w:type="gramEnd"/>
      <w:r w:rsidRPr="006B1DE1">
        <w:rPr>
          <w:rFonts w:cs="Arial"/>
          <w:bCs/>
          <w:szCs w:val="24"/>
        </w:rPr>
        <w:t xml:space="preserve"> this will result in a budget pressure of £50k.</w:t>
      </w:r>
    </w:p>
    <w:p w:rsidR="00741AEB" w:rsidRPr="006B1DE1" w:rsidRDefault="00741AEB" w:rsidP="00AF1127">
      <w:pPr>
        <w:ind w:left="786" w:hanging="720"/>
        <w:rPr>
          <w:rFonts w:cs="Arial"/>
          <w:bCs/>
          <w:szCs w:val="24"/>
        </w:rPr>
      </w:pPr>
    </w:p>
    <w:p w:rsidR="00741AEB" w:rsidRPr="006B1DE1" w:rsidRDefault="00741AEB" w:rsidP="00AF1127">
      <w:pPr>
        <w:spacing w:after="240"/>
        <w:ind w:left="786" w:hanging="66"/>
        <w:rPr>
          <w:rFonts w:cs="Arial"/>
          <w:bCs/>
          <w:szCs w:val="24"/>
        </w:rPr>
      </w:pPr>
      <w:proofErr w:type="gramStart"/>
      <w:r w:rsidRPr="006B1DE1">
        <w:rPr>
          <w:rFonts w:cs="Arial"/>
          <w:bCs/>
          <w:szCs w:val="24"/>
        </w:rPr>
        <w:t>The overspends</w:t>
      </w:r>
      <w:proofErr w:type="gramEnd"/>
      <w:r w:rsidRPr="006B1DE1">
        <w:rPr>
          <w:rFonts w:cs="Arial"/>
          <w:bCs/>
          <w:szCs w:val="24"/>
        </w:rPr>
        <w:t xml:space="preserve"> above are offset by underspends as follows: </w:t>
      </w:r>
    </w:p>
    <w:p w:rsidR="00741AEB" w:rsidRPr="006B1DE1" w:rsidRDefault="00741AEB" w:rsidP="00AF1127">
      <w:pPr>
        <w:numPr>
          <w:ilvl w:val="0"/>
          <w:numId w:val="9"/>
        </w:numPr>
        <w:ind w:hanging="720"/>
        <w:rPr>
          <w:rFonts w:cs="Arial"/>
          <w:bCs/>
          <w:szCs w:val="24"/>
        </w:rPr>
      </w:pPr>
      <w:r w:rsidRPr="006B1DE1">
        <w:rPr>
          <w:rFonts w:cs="Arial"/>
          <w:szCs w:val="24"/>
        </w:rPr>
        <w:t>Additional administrative grant for the Real Time Information Bulk Data exercise</w:t>
      </w:r>
      <w:r w:rsidRPr="006B1DE1">
        <w:rPr>
          <w:rFonts w:cs="Arial"/>
          <w:bCs/>
          <w:szCs w:val="24"/>
        </w:rPr>
        <w:t xml:space="preserve"> (RTI) (£30k)</w:t>
      </w:r>
    </w:p>
    <w:p w:rsidR="00741AEB" w:rsidRPr="006B1DE1" w:rsidRDefault="00741AEB" w:rsidP="00741AEB">
      <w:pPr>
        <w:ind w:left="1110" w:hanging="720"/>
        <w:rPr>
          <w:rFonts w:cs="Arial"/>
          <w:bCs/>
          <w:szCs w:val="24"/>
        </w:rPr>
      </w:pPr>
    </w:p>
    <w:p w:rsidR="00741AEB" w:rsidRPr="006B1DE1" w:rsidRDefault="00741AEB" w:rsidP="00AF1127">
      <w:pPr>
        <w:pStyle w:val="ListParagraph"/>
        <w:numPr>
          <w:ilvl w:val="0"/>
          <w:numId w:val="9"/>
        </w:numPr>
        <w:ind w:hanging="720"/>
        <w:rPr>
          <w:rFonts w:cs="Arial"/>
          <w:bCs/>
          <w:szCs w:val="24"/>
        </w:rPr>
      </w:pPr>
      <w:r w:rsidRPr="006B1DE1">
        <w:rPr>
          <w:rFonts w:cs="Arial"/>
          <w:szCs w:val="24"/>
        </w:rPr>
        <w:t>Land Registry MTFS growth that is not required this year due to a delay in the</w:t>
      </w:r>
      <w:r w:rsidRPr="006B1DE1">
        <w:rPr>
          <w:rFonts w:cs="Arial"/>
          <w:bCs/>
          <w:szCs w:val="24"/>
        </w:rPr>
        <w:t xml:space="preserve"> implementation of the service transfer from local authorities (£225k).</w:t>
      </w:r>
    </w:p>
    <w:p w:rsidR="00741AEB" w:rsidRPr="006B1DE1" w:rsidRDefault="00741AEB" w:rsidP="00741AEB">
      <w:pPr>
        <w:ind w:left="720" w:hanging="720"/>
        <w:rPr>
          <w:rFonts w:cs="Arial"/>
          <w:bCs/>
          <w:szCs w:val="24"/>
        </w:rPr>
      </w:pPr>
    </w:p>
    <w:p w:rsidR="00741AEB" w:rsidRPr="006B1DE1" w:rsidRDefault="00741AEB" w:rsidP="00AF1127">
      <w:pPr>
        <w:numPr>
          <w:ilvl w:val="0"/>
          <w:numId w:val="9"/>
        </w:numPr>
        <w:ind w:hanging="720"/>
        <w:rPr>
          <w:rFonts w:cs="Arial"/>
          <w:bCs/>
          <w:szCs w:val="24"/>
        </w:rPr>
      </w:pPr>
      <w:r w:rsidRPr="006B1DE1">
        <w:rPr>
          <w:rFonts w:cs="Arial"/>
          <w:bCs/>
          <w:szCs w:val="24"/>
        </w:rPr>
        <w:t>Unapplied supplies and services inflation (£72k).</w:t>
      </w:r>
    </w:p>
    <w:p w:rsidR="00741AEB" w:rsidRPr="006B1DE1" w:rsidRDefault="00741AEB" w:rsidP="00741AEB">
      <w:pPr>
        <w:ind w:left="720" w:hanging="720"/>
        <w:contextualSpacing/>
        <w:rPr>
          <w:rFonts w:cs="Arial"/>
          <w:bCs/>
          <w:szCs w:val="24"/>
        </w:rPr>
      </w:pPr>
    </w:p>
    <w:p w:rsidR="00741AEB" w:rsidRPr="006B1DE1" w:rsidRDefault="00741AEB" w:rsidP="00AF1127">
      <w:pPr>
        <w:numPr>
          <w:ilvl w:val="0"/>
          <w:numId w:val="9"/>
        </w:numPr>
        <w:ind w:hanging="720"/>
        <w:rPr>
          <w:rFonts w:cs="Arial"/>
          <w:b/>
          <w:bCs/>
          <w:kern w:val="32"/>
          <w:szCs w:val="32"/>
          <w:u w:val="single"/>
        </w:rPr>
      </w:pPr>
      <w:r w:rsidRPr="006B1DE1">
        <w:rPr>
          <w:rFonts w:cs="Arial"/>
          <w:bCs/>
          <w:szCs w:val="24"/>
        </w:rPr>
        <w:t xml:space="preserve">Other underspends in Director of Resources of (£35k) </w:t>
      </w:r>
    </w:p>
    <w:p w:rsidR="00741AEB" w:rsidRPr="006B1DE1" w:rsidRDefault="00741AEB" w:rsidP="00741AEB">
      <w:pPr>
        <w:keepNext/>
        <w:ind w:hanging="720"/>
        <w:jc w:val="both"/>
        <w:outlineLvl w:val="1"/>
        <w:rPr>
          <w:rFonts w:cs="Arial"/>
          <w:b/>
          <w:bCs/>
          <w:kern w:val="32"/>
          <w:szCs w:val="32"/>
          <w:u w:val="single"/>
        </w:rPr>
      </w:pPr>
    </w:p>
    <w:bookmarkEnd w:id="0"/>
    <w:p w:rsidR="00741AEB" w:rsidRDefault="00AF6F1B" w:rsidP="00741AEB">
      <w:pPr>
        <w:pStyle w:val="Heading4"/>
        <w:spacing w:after="120"/>
      </w:pPr>
      <w:r>
        <w:t>COMMUNITY</w:t>
      </w:r>
      <w:r w:rsidR="002C672F">
        <w:t xml:space="preserve"> DIRECTORATE</w:t>
      </w:r>
    </w:p>
    <w:p w:rsidR="00351735" w:rsidRPr="00351735" w:rsidRDefault="00351735" w:rsidP="00351735">
      <w:pPr>
        <w:numPr>
          <w:ilvl w:val="0"/>
          <w:numId w:val="9"/>
        </w:numPr>
        <w:ind w:hanging="720"/>
      </w:pPr>
      <w:r w:rsidRPr="00351735">
        <w:t>At Quarter 2 t</w:t>
      </w:r>
      <w:r>
        <w:t>he Community Directorate is fore</w:t>
      </w:r>
      <w:r w:rsidRPr="00351735">
        <w:t xml:space="preserve">casting </w:t>
      </w:r>
      <w:proofErr w:type="gramStart"/>
      <w:r>
        <w:t>an overspend</w:t>
      </w:r>
      <w:proofErr w:type="gramEnd"/>
      <w:r>
        <w:t xml:space="preserve"> of £0.852m compared to Quarter 1, a reduction in overspend of </w:t>
      </w:r>
      <w:r w:rsidR="002E5AF5">
        <w:t>£2.35</w:t>
      </w:r>
      <w:r w:rsidR="009C02BB">
        <w:t>1</w:t>
      </w:r>
      <w:r w:rsidR="002E5AF5">
        <w:t>m.</w:t>
      </w:r>
    </w:p>
    <w:p w:rsidR="00351735" w:rsidRDefault="00351735" w:rsidP="002C672F">
      <w:pPr>
        <w:rPr>
          <w:b/>
          <w:u w:val="single"/>
        </w:rPr>
      </w:pPr>
    </w:p>
    <w:p w:rsidR="002C672F" w:rsidRPr="002C672F" w:rsidRDefault="00AF6F1B" w:rsidP="002C672F">
      <w:pPr>
        <w:rPr>
          <w:b/>
          <w:u w:val="single"/>
        </w:rPr>
      </w:pPr>
      <w:r w:rsidRPr="002C672F">
        <w:rPr>
          <w:b/>
          <w:u w:val="single"/>
        </w:rPr>
        <w:t>E</w:t>
      </w:r>
      <w:r w:rsidR="002C672F" w:rsidRPr="002C672F">
        <w:rPr>
          <w:b/>
          <w:u w:val="single"/>
        </w:rPr>
        <w:t>nvironment &amp; Commissioning</w:t>
      </w:r>
    </w:p>
    <w:p w:rsidR="00AB4C90" w:rsidRDefault="00741AEB" w:rsidP="00FA1127">
      <w:pPr>
        <w:numPr>
          <w:ilvl w:val="0"/>
          <w:numId w:val="9"/>
        </w:numPr>
        <w:ind w:hanging="720"/>
        <w:rPr>
          <w:rFonts w:cs="Arial"/>
          <w:szCs w:val="24"/>
        </w:rPr>
      </w:pPr>
      <w:r w:rsidRPr="006B1DE1">
        <w:rPr>
          <w:rFonts w:cs="Arial"/>
          <w:szCs w:val="24"/>
        </w:rPr>
        <w:t xml:space="preserve">At Quarter </w:t>
      </w:r>
      <w:r w:rsidR="00AB4C90">
        <w:rPr>
          <w:rFonts w:cs="Arial"/>
          <w:szCs w:val="24"/>
        </w:rPr>
        <w:t>2</w:t>
      </w:r>
      <w:r w:rsidRPr="006B1DE1">
        <w:rPr>
          <w:rFonts w:cs="Arial"/>
          <w:szCs w:val="24"/>
        </w:rPr>
        <w:t xml:space="preserve"> Environment &amp; </w:t>
      </w:r>
      <w:r w:rsidR="00AB4C90">
        <w:rPr>
          <w:rFonts w:cs="Arial"/>
          <w:szCs w:val="24"/>
        </w:rPr>
        <w:t>Commissioning</w:t>
      </w:r>
      <w:r w:rsidRPr="006B1DE1">
        <w:rPr>
          <w:rFonts w:cs="Arial"/>
          <w:szCs w:val="24"/>
        </w:rPr>
        <w:t xml:space="preserve"> are reporting a projected </w:t>
      </w:r>
      <w:r w:rsidR="00AB4C90">
        <w:rPr>
          <w:rFonts w:cs="Arial"/>
          <w:szCs w:val="24"/>
        </w:rPr>
        <w:t xml:space="preserve">underspend of £25k, compared to </w:t>
      </w:r>
      <w:proofErr w:type="gramStart"/>
      <w:r w:rsidR="00AB4C90">
        <w:rPr>
          <w:rFonts w:cs="Arial"/>
          <w:szCs w:val="24"/>
        </w:rPr>
        <w:t>an overspend</w:t>
      </w:r>
      <w:proofErr w:type="gramEnd"/>
      <w:r w:rsidR="00AB4C90">
        <w:rPr>
          <w:rFonts w:cs="Arial"/>
          <w:szCs w:val="24"/>
        </w:rPr>
        <w:t xml:space="preserve"> of £0.917m at Quarter 1</w:t>
      </w:r>
      <w:r w:rsidR="006633CE">
        <w:rPr>
          <w:rFonts w:cs="Arial"/>
          <w:szCs w:val="24"/>
        </w:rPr>
        <w:t>.</w:t>
      </w:r>
      <w:r w:rsidRPr="006B1DE1">
        <w:rPr>
          <w:rFonts w:cs="Arial"/>
          <w:szCs w:val="24"/>
        </w:rPr>
        <w:t xml:space="preserve">  </w:t>
      </w:r>
      <w:bookmarkStart w:id="1" w:name="_Toc372706220"/>
      <w:r w:rsidR="001E2C27">
        <w:rPr>
          <w:rFonts w:cs="Arial"/>
          <w:szCs w:val="24"/>
        </w:rPr>
        <w:t>Although there is a net underspend at quarter 2, it includes overspends offset by additional one off income/funding.</w:t>
      </w:r>
    </w:p>
    <w:p w:rsidR="00AB4C90" w:rsidRDefault="00AB4C90" w:rsidP="00AB4C90">
      <w:pPr>
        <w:rPr>
          <w:rFonts w:cs="Arial"/>
          <w:szCs w:val="24"/>
        </w:rPr>
      </w:pPr>
    </w:p>
    <w:p w:rsidR="00AB4C90" w:rsidRPr="00AB4C90" w:rsidRDefault="001E2C27" w:rsidP="00FA1127">
      <w:pPr>
        <w:numPr>
          <w:ilvl w:val="0"/>
          <w:numId w:val="9"/>
        </w:numPr>
        <w:ind w:hanging="720"/>
        <w:rPr>
          <w:rFonts w:cs="Arial"/>
          <w:szCs w:val="24"/>
        </w:rPr>
      </w:pPr>
      <w:r>
        <w:rPr>
          <w:rFonts w:cs="Arial"/>
          <w:szCs w:val="24"/>
        </w:rPr>
        <w:t xml:space="preserve">The main </w:t>
      </w:r>
      <w:r w:rsidR="002F7D59">
        <w:rPr>
          <w:rFonts w:cs="Arial"/>
          <w:szCs w:val="24"/>
        </w:rPr>
        <w:t>over</w:t>
      </w:r>
      <w:r w:rsidR="00AB4C90" w:rsidRPr="00AB4C90">
        <w:rPr>
          <w:rFonts w:cs="Arial"/>
          <w:szCs w:val="24"/>
        </w:rPr>
        <w:t xml:space="preserve">spend relates to an amber rated MTFS saving associated with the changes of garden and food waste collection system.  A separate food waste collection service will commence in October 15. It is anticipated that this will result in an increase in recycling tonnage on food waste and will yield a part year saving on disposal costs. However the full 15/16 saving will not be achieved due to the decision to delay the implementation of garden waste charging until 1st April 2016 which leads to a pressure of around £850K this year.  </w:t>
      </w:r>
    </w:p>
    <w:p w:rsidR="00AB4C90" w:rsidRPr="00AB4C90" w:rsidRDefault="00AB4C90" w:rsidP="00AB4C90">
      <w:pPr>
        <w:keepNext/>
        <w:spacing w:after="60"/>
        <w:ind w:left="16"/>
        <w:outlineLvl w:val="0"/>
        <w:rPr>
          <w:rFonts w:cs="Arial"/>
          <w:szCs w:val="24"/>
        </w:rPr>
      </w:pPr>
    </w:p>
    <w:p w:rsidR="00AB4C90" w:rsidRPr="00AB4C90" w:rsidRDefault="00AB4C90" w:rsidP="00FA1127">
      <w:pPr>
        <w:numPr>
          <w:ilvl w:val="0"/>
          <w:numId w:val="9"/>
        </w:numPr>
        <w:ind w:hanging="720"/>
        <w:rPr>
          <w:rFonts w:cs="Arial"/>
          <w:szCs w:val="24"/>
        </w:rPr>
      </w:pPr>
      <w:r w:rsidRPr="00AB4C90">
        <w:rPr>
          <w:rFonts w:cs="Arial"/>
          <w:szCs w:val="24"/>
        </w:rPr>
        <w:t xml:space="preserve">The other significant over spend relates to route optimisation. The original saving anticipated in previous MTFS was £600k in total. A full review on waste collection routes has been undertaken, and revised </w:t>
      </w:r>
      <w:r w:rsidRPr="00AB4C90">
        <w:rPr>
          <w:rFonts w:cs="Arial"/>
          <w:szCs w:val="24"/>
        </w:rPr>
        <w:lastRenderedPageBreak/>
        <w:t>routings were implemented in January 15. The review, however, confirms that the actual efficiencies are less than those assumed in the original model as part of PRISM project. This has led to an unachieved saving of £353k.</w:t>
      </w:r>
    </w:p>
    <w:p w:rsidR="00AB4C90" w:rsidRPr="00AB4C90" w:rsidRDefault="00AB4C90" w:rsidP="00AB4C90">
      <w:pPr>
        <w:keepNext/>
        <w:spacing w:after="60"/>
        <w:ind w:left="16"/>
        <w:outlineLvl w:val="0"/>
        <w:rPr>
          <w:rFonts w:cs="Arial"/>
          <w:szCs w:val="24"/>
        </w:rPr>
      </w:pPr>
    </w:p>
    <w:p w:rsidR="006633CE" w:rsidRDefault="00AB4C90" w:rsidP="00AB4C90">
      <w:pPr>
        <w:keepNext/>
        <w:spacing w:after="60"/>
        <w:ind w:left="16"/>
        <w:outlineLvl w:val="0"/>
        <w:rPr>
          <w:rFonts w:cs="Arial"/>
          <w:szCs w:val="24"/>
        </w:rPr>
      </w:pPr>
      <w:r w:rsidRPr="00AB4C90">
        <w:rPr>
          <w:rFonts w:cs="Arial"/>
          <w:szCs w:val="24"/>
        </w:rPr>
        <w:t>The principal movement</w:t>
      </w:r>
      <w:r w:rsidR="006633CE">
        <w:rPr>
          <w:rFonts w:cs="Arial"/>
          <w:szCs w:val="24"/>
        </w:rPr>
        <w:t>s</w:t>
      </w:r>
      <w:r w:rsidRPr="00AB4C90">
        <w:rPr>
          <w:rFonts w:cs="Arial"/>
          <w:szCs w:val="24"/>
        </w:rPr>
        <w:t xml:space="preserve"> from Quarter 1 to Quarter 2 relate</w:t>
      </w:r>
      <w:r w:rsidR="006633CE">
        <w:rPr>
          <w:rFonts w:cs="Arial"/>
          <w:szCs w:val="24"/>
        </w:rPr>
        <w:t xml:space="preserve"> to:</w:t>
      </w:r>
      <w:r w:rsidRPr="00AB4C90">
        <w:rPr>
          <w:rFonts w:cs="Arial"/>
          <w:szCs w:val="24"/>
        </w:rPr>
        <w:t xml:space="preserve"> </w:t>
      </w:r>
    </w:p>
    <w:p w:rsidR="006633CE" w:rsidRDefault="006633CE" w:rsidP="006633CE">
      <w:pPr>
        <w:pStyle w:val="ListParagraph"/>
        <w:keepNext/>
        <w:numPr>
          <w:ilvl w:val="0"/>
          <w:numId w:val="19"/>
        </w:numPr>
        <w:spacing w:after="60"/>
        <w:outlineLvl w:val="0"/>
        <w:rPr>
          <w:rFonts w:cs="Arial"/>
          <w:szCs w:val="24"/>
        </w:rPr>
      </w:pPr>
      <w:r>
        <w:rPr>
          <w:rFonts w:cs="Arial"/>
          <w:szCs w:val="24"/>
        </w:rPr>
        <w:t xml:space="preserve">£0.788m Income in relation to Harrow’s one third share of the surplus on Breakspear Crematorium, including </w:t>
      </w:r>
      <w:r w:rsidR="008E1C20">
        <w:rPr>
          <w:rFonts w:cs="Arial"/>
          <w:szCs w:val="24"/>
        </w:rPr>
        <w:t xml:space="preserve">a one-off </w:t>
      </w:r>
      <w:r>
        <w:rPr>
          <w:rFonts w:cs="Arial"/>
          <w:szCs w:val="24"/>
        </w:rPr>
        <w:t xml:space="preserve">£0.6m backdated </w:t>
      </w:r>
      <w:r w:rsidR="008E1C20">
        <w:rPr>
          <w:rFonts w:cs="Arial"/>
          <w:szCs w:val="24"/>
        </w:rPr>
        <w:t xml:space="preserve">receipt relating </w:t>
      </w:r>
      <w:r>
        <w:rPr>
          <w:rFonts w:cs="Arial"/>
          <w:szCs w:val="24"/>
        </w:rPr>
        <w:t>to prior years.</w:t>
      </w:r>
    </w:p>
    <w:p w:rsidR="00AB4C90" w:rsidRDefault="006633CE" w:rsidP="006633CE">
      <w:pPr>
        <w:pStyle w:val="ListParagraph"/>
        <w:keepNext/>
        <w:numPr>
          <w:ilvl w:val="0"/>
          <w:numId w:val="19"/>
        </w:numPr>
        <w:spacing w:after="60"/>
        <w:outlineLvl w:val="0"/>
        <w:rPr>
          <w:rFonts w:cs="Arial"/>
          <w:szCs w:val="24"/>
        </w:rPr>
      </w:pPr>
      <w:r>
        <w:rPr>
          <w:rFonts w:cs="Arial"/>
          <w:szCs w:val="24"/>
        </w:rPr>
        <w:t>A</w:t>
      </w:r>
      <w:r w:rsidR="008E1C20">
        <w:rPr>
          <w:rFonts w:cs="Arial"/>
          <w:szCs w:val="24"/>
        </w:rPr>
        <w:t xml:space="preserve"> one-off</w:t>
      </w:r>
      <w:r>
        <w:rPr>
          <w:rFonts w:cs="Arial"/>
          <w:szCs w:val="24"/>
        </w:rPr>
        <w:t xml:space="preserve"> </w:t>
      </w:r>
      <w:r w:rsidR="00AB4C90" w:rsidRPr="006633CE">
        <w:rPr>
          <w:rFonts w:cs="Arial"/>
          <w:szCs w:val="24"/>
        </w:rPr>
        <w:t xml:space="preserve">drawdown of the </w:t>
      </w:r>
      <w:r w:rsidR="002F7D59" w:rsidRPr="006633CE">
        <w:rPr>
          <w:rFonts w:cs="Arial"/>
          <w:szCs w:val="24"/>
        </w:rPr>
        <w:t>Business Risk reserve</w:t>
      </w:r>
      <w:r w:rsidR="00AB4C90" w:rsidRPr="006633CE">
        <w:rPr>
          <w:rFonts w:cs="Arial"/>
          <w:szCs w:val="24"/>
        </w:rPr>
        <w:t xml:space="preserve"> funding in relation to WLWA, £218k.</w:t>
      </w:r>
    </w:p>
    <w:p w:rsidR="006633CE" w:rsidRPr="006633CE" w:rsidRDefault="00B42144" w:rsidP="00B42144">
      <w:pPr>
        <w:pStyle w:val="ListParagraph"/>
        <w:keepNext/>
        <w:numPr>
          <w:ilvl w:val="0"/>
          <w:numId w:val="19"/>
        </w:numPr>
        <w:spacing w:after="240"/>
        <w:outlineLvl w:val="0"/>
        <w:rPr>
          <w:rFonts w:cs="Arial"/>
          <w:szCs w:val="24"/>
        </w:rPr>
      </w:pPr>
      <w:r>
        <w:rPr>
          <w:rFonts w:cs="Arial"/>
          <w:szCs w:val="24"/>
        </w:rPr>
        <w:t xml:space="preserve">£100k </w:t>
      </w:r>
      <w:r w:rsidR="006633CE">
        <w:rPr>
          <w:rFonts w:cs="Arial"/>
          <w:szCs w:val="24"/>
        </w:rPr>
        <w:t>One-off income in Corporate Estates.</w:t>
      </w:r>
    </w:p>
    <w:p w:rsidR="006633CE" w:rsidRDefault="00AB4C90" w:rsidP="00FA1127">
      <w:pPr>
        <w:numPr>
          <w:ilvl w:val="0"/>
          <w:numId w:val="9"/>
        </w:numPr>
        <w:ind w:hanging="720"/>
        <w:rPr>
          <w:rFonts w:cs="Arial"/>
          <w:szCs w:val="24"/>
        </w:rPr>
      </w:pPr>
      <w:r w:rsidRPr="00AB4C90">
        <w:rPr>
          <w:rFonts w:cs="Arial"/>
          <w:szCs w:val="24"/>
        </w:rPr>
        <w:t xml:space="preserve">Of the £4.632m 15/16 MTFS </w:t>
      </w:r>
      <w:r w:rsidR="001E2C27">
        <w:rPr>
          <w:rFonts w:cs="Arial"/>
          <w:szCs w:val="24"/>
        </w:rPr>
        <w:t>savings</w:t>
      </w:r>
      <w:r w:rsidRPr="00AB4C90">
        <w:rPr>
          <w:rFonts w:cs="Arial"/>
          <w:szCs w:val="24"/>
        </w:rPr>
        <w:t xml:space="preserve">, </w:t>
      </w:r>
      <w:r w:rsidR="001E2C27">
        <w:rPr>
          <w:rFonts w:cs="Arial"/>
          <w:szCs w:val="24"/>
        </w:rPr>
        <w:t xml:space="preserve">there is a </w:t>
      </w:r>
      <w:r w:rsidRPr="00AB4C90">
        <w:rPr>
          <w:rFonts w:cs="Arial"/>
          <w:szCs w:val="24"/>
        </w:rPr>
        <w:t xml:space="preserve">red rated </w:t>
      </w:r>
      <w:r w:rsidR="00BB7370" w:rsidRPr="00AB4C90">
        <w:rPr>
          <w:rFonts w:cs="Arial"/>
          <w:szCs w:val="24"/>
        </w:rPr>
        <w:t>saving of</w:t>
      </w:r>
      <w:r w:rsidR="001E2C27">
        <w:rPr>
          <w:rFonts w:cs="Arial"/>
          <w:szCs w:val="24"/>
        </w:rPr>
        <w:t xml:space="preserve"> </w:t>
      </w:r>
      <w:r w:rsidRPr="00AB4C90">
        <w:rPr>
          <w:rFonts w:cs="Arial"/>
          <w:szCs w:val="24"/>
        </w:rPr>
        <w:t xml:space="preserve">  £375k relat</w:t>
      </w:r>
      <w:r w:rsidR="001E2C27">
        <w:rPr>
          <w:rFonts w:cs="Arial"/>
          <w:szCs w:val="24"/>
        </w:rPr>
        <w:t>ing</w:t>
      </w:r>
      <w:r w:rsidRPr="00AB4C90">
        <w:rPr>
          <w:rFonts w:cs="Arial"/>
          <w:szCs w:val="24"/>
        </w:rPr>
        <w:t xml:space="preserve"> to the review of car parking charges to deal with capacity issues.  The pressure is being contained by a forecast over achievement of other parking income. </w:t>
      </w:r>
    </w:p>
    <w:p w:rsidR="002E14DC" w:rsidRPr="002C672F" w:rsidRDefault="002E14DC" w:rsidP="00AB4C90">
      <w:pPr>
        <w:keepNext/>
        <w:spacing w:after="60"/>
        <w:ind w:left="16"/>
        <w:outlineLvl w:val="0"/>
        <w:rPr>
          <w:rFonts w:cs="Arial"/>
          <w:b/>
          <w:bCs/>
          <w:kern w:val="32"/>
          <w:szCs w:val="24"/>
          <w:u w:val="single"/>
        </w:rPr>
      </w:pPr>
      <w:r w:rsidRPr="002C672F">
        <w:rPr>
          <w:rFonts w:cs="Arial"/>
          <w:b/>
          <w:bCs/>
          <w:kern w:val="32"/>
          <w:szCs w:val="24"/>
          <w:u w:val="single"/>
        </w:rPr>
        <w:t>C</w:t>
      </w:r>
      <w:r w:rsidR="002C672F" w:rsidRPr="002C672F">
        <w:rPr>
          <w:rFonts w:cs="Arial"/>
          <w:b/>
          <w:bCs/>
          <w:kern w:val="32"/>
          <w:szCs w:val="24"/>
          <w:u w:val="single"/>
        </w:rPr>
        <w:t>ulture</w:t>
      </w:r>
    </w:p>
    <w:p w:rsidR="006E1CAF" w:rsidRDefault="006E1CAF" w:rsidP="00DC76F0">
      <w:pPr>
        <w:numPr>
          <w:ilvl w:val="0"/>
          <w:numId w:val="9"/>
        </w:numPr>
        <w:spacing w:after="240"/>
        <w:ind w:hanging="720"/>
        <w:rPr>
          <w:rFonts w:cs="Arial"/>
          <w:szCs w:val="24"/>
        </w:rPr>
      </w:pPr>
      <w:r w:rsidRPr="001B2510">
        <w:rPr>
          <w:rFonts w:cs="Arial"/>
          <w:szCs w:val="24"/>
        </w:rPr>
        <w:t>Community and Culture are reporting a projected overspend of £1</w:t>
      </w:r>
      <w:r w:rsidR="00B42144" w:rsidRPr="001B2510">
        <w:rPr>
          <w:rFonts w:cs="Arial"/>
          <w:szCs w:val="24"/>
        </w:rPr>
        <w:t>02</w:t>
      </w:r>
      <w:r w:rsidRPr="001B2510">
        <w:rPr>
          <w:rFonts w:cs="Arial"/>
          <w:szCs w:val="24"/>
        </w:rPr>
        <w:t>k against a controllable budget of £2.42</w:t>
      </w:r>
      <w:r w:rsidR="00B42144" w:rsidRPr="001B2510">
        <w:rPr>
          <w:rFonts w:cs="Arial"/>
          <w:szCs w:val="24"/>
        </w:rPr>
        <w:t>2</w:t>
      </w:r>
      <w:r w:rsidRPr="001B2510">
        <w:rPr>
          <w:rFonts w:cs="Arial"/>
          <w:szCs w:val="24"/>
        </w:rPr>
        <w:t>m.  This is a £18</w:t>
      </w:r>
      <w:r w:rsidR="001B2510" w:rsidRPr="001B2510">
        <w:rPr>
          <w:rFonts w:cs="Arial"/>
          <w:szCs w:val="24"/>
        </w:rPr>
        <w:t>2</w:t>
      </w:r>
      <w:r w:rsidRPr="001B2510">
        <w:rPr>
          <w:rFonts w:cs="Arial"/>
          <w:szCs w:val="24"/>
        </w:rPr>
        <w:t xml:space="preserve">k </w:t>
      </w:r>
      <w:r w:rsidR="001B2510" w:rsidRPr="001B2510">
        <w:rPr>
          <w:rFonts w:cs="Arial"/>
          <w:szCs w:val="24"/>
        </w:rPr>
        <w:t>improvement since Quarter 1</w:t>
      </w:r>
      <w:r w:rsidR="001B2510">
        <w:rPr>
          <w:rFonts w:cs="Arial"/>
          <w:szCs w:val="24"/>
        </w:rPr>
        <w:t xml:space="preserve">. </w:t>
      </w:r>
    </w:p>
    <w:p w:rsidR="001B2510" w:rsidRPr="001B2510" w:rsidRDefault="001B2510" w:rsidP="001B2510">
      <w:pPr>
        <w:spacing w:after="120"/>
        <w:ind w:right="-180"/>
        <w:rPr>
          <w:rFonts w:cs="Arial"/>
          <w:b/>
          <w:szCs w:val="24"/>
        </w:rPr>
      </w:pPr>
      <w:r w:rsidRPr="001B2510">
        <w:rPr>
          <w:rFonts w:cs="Arial"/>
          <w:b/>
          <w:szCs w:val="24"/>
        </w:rPr>
        <w:t>Overspends</w:t>
      </w:r>
    </w:p>
    <w:p w:rsidR="001B2510" w:rsidRDefault="001B2510" w:rsidP="00D44E09">
      <w:pPr>
        <w:numPr>
          <w:ilvl w:val="0"/>
          <w:numId w:val="9"/>
        </w:numPr>
        <w:spacing w:after="240"/>
        <w:ind w:hanging="720"/>
        <w:rPr>
          <w:rFonts w:cs="Arial"/>
          <w:szCs w:val="24"/>
        </w:rPr>
      </w:pPr>
      <w:r>
        <w:rPr>
          <w:rFonts w:cs="Arial"/>
          <w:szCs w:val="24"/>
        </w:rPr>
        <w:t xml:space="preserve">There is a £200k projected net overspend on Harrow Arts Centre. </w:t>
      </w:r>
      <w:r w:rsidRPr="006E1CAF">
        <w:rPr>
          <w:rFonts w:cs="Arial"/>
          <w:szCs w:val="24"/>
        </w:rPr>
        <w:t xml:space="preserve">This adverse variance is due to pressures in achieving additional income targets and savings against salaries. A number of staff </w:t>
      </w:r>
      <w:proofErr w:type="gramStart"/>
      <w:r w:rsidRPr="006E1CAF">
        <w:rPr>
          <w:rFonts w:cs="Arial"/>
          <w:szCs w:val="24"/>
        </w:rPr>
        <w:t>have</w:t>
      </w:r>
      <w:proofErr w:type="gramEnd"/>
      <w:r w:rsidRPr="006E1CAF">
        <w:rPr>
          <w:rFonts w:cs="Arial"/>
          <w:szCs w:val="24"/>
        </w:rPr>
        <w:t xml:space="preserve"> been on long term sickness leave and cover for this is increasing salaries costs and making savings more difficult to achieve. The pressure on income targets is due to a reduction of longer term room hire bookings due to uncertainty around the Arts Centre in 2014-15 and electronic booking system failures. This remains a risk and will continue to be closely monitored.</w:t>
      </w:r>
    </w:p>
    <w:p w:rsidR="007B64C2" w:rsidRDefault="007B64C2" w:rsidP="00D44E09">
      <w:pPr>
        <w:numPr>
          <w:ilvl w:val="0"/>
          <w:numId w:val="9"/>
        </w:numPr>
        <w:spacing w:after="120"/>
        <w:ind w:hanging="720"/>
        <w:rPr>
          <w:rFonts w:cs="Arial"/>
          <w:szCs w:val="24"/>
        </w:rPr>
      </w:pPr>
      <w:r>
        <w:rPr>
          <w:rFonts w:cs="Arial"/>
          <w:szCs w:val="24"/>
        </w:rPr>
        <w:t>There is a forecast net overspend of £32k on Libraries and Leisure.</w:t>
      </w:r>
      <w:r w:rsidR="00B75106">
        <w:rPr>
          <w:rFonts w:cs="Arial"/>
          <w:szCs w:val="24"/>
        </w:rPr>
        <w:t xml:space="preserve"> </w:t>
      </w:r>
      <w:r w:rsidR="00B75106" w:rsidRPr="00B75106">
        <w:rPr>
          <w:rFonts w:cs="Arial"/>
          <w:szCs w:val="24"/>
        </w:rPr>
        <w:t>The MTFS saving against libraries had been predicated on the basis of closing 4 libraries. However, timescales over the closing of the libraries were delayed, and finalising negotiations with the contractor regarding the level of the saving has led to delays in realising the saving.  The pressure in a full year is being mitigated by a reduction in the book and repairs and maintenance funds. Additional mitigation is being provided by first month of libraries remaining open being funded centrally</w:t>
      </w:r>
      <w:r w:rsidR="00B75106">
        <w:rPr>
          <w:rFonts w:cs="Arial"/>
          <w:szCs w:val="24"/>
        </w:rPr>
        <w:t>.</w:t>
      </w:r>
    </w:p>
    <w:p w:rsidR="001B2510" w:rsidRPr="001B2510" w:rsidRDefault="001B2510" w:rsidP="001B2510">
      <w:pPr>
        <w:spacing w:after="120"/>
        <w:ind w:right="-180"/>
        <w:rPr>
          <w:rFonts w:cs="Arial"/>
          <w:b/>
          <w:szCs w:val="24"/>
        </w:rPr>
      </w:pPr>
      <w:r w:rsidRPr="001B2510">
        <w:rPr>
          <w:rFonts w:cs="Arial"/>
          <w:b/>
          <w:szCs w:val="24"/>
        </w:rPr>
        <w:t>Underspends</w:t>
      </w:r>
    </w:p>
    <w:p w:rsidR="006E1CAF" w:rsidRPr="006E1CAF" w:rsidRDefault="006E1CAF" w:rsidP="00D44E09">
      <w:pPr>
        <w:numPr>
          <w:ilvl w:val="0"/>
          <w:numId w:val="9"/>
        </w:numPr>
        <w:spacing w:after="240"/>
        <w:ind w:hanging="720"/>
        <w:rPr>
          <w:rFonts w:cs="Arial"/>
          <w:szCs w:val="24"/>
        </w:rPr>
      </w:pPr>
      <w:r w:rsidRPr="006E1CAF">
        <w:rPr>
          <w:rFonts w:cs="Arial"/>
          <w:szCs w:val="24"/>
        </w:rPr>
        <w:t xml:space="preserve">£130k improving position in Arts and Heritage (Music Service) due to forecast additional grant income from Arts Council and additional income from </w:t>
      </w:r>
      <w:r w:rsidR="001B2510">
        <w:rPr>
          <w:rFonts w:cs="Arial"/>
          <w:szCs w:val="24"/>
        </w:rPr>
        <w:t xml:space="preserve">the </w:t>
      </w:r>
      <w:r w:rsidRPr="006E1CAF">
        <w:rPr>
          <w:rFonts w:cs="Arial"/>
          <w:szCs w:val="24"/>
        </w:rPr>
        <w:t>delivery of music lessons.</w:t>
      </w:r>
    </w:p>
    <w:p w:rsidR="007B64C2" w:rsidRPr="006E1CAF" w:rsidRDefault="007B64C2" w:rsidP="00D44E09">
      <w:pPr>
        <w:numPr>
          <w:ilvl w:val="0"/>
          <w:numId w:val="9"/>
        </w:numPr>
        <w:spacing w:after="240"/>
        <w:ind w:hanging="720"/>
        <w:rPr>
          <w:rFonts w:cs="Arial"/>
          <w:szCs w:val="24"/>
        </w:rPr>
      </w:pPr>
      <w:r>
        <w:rPr>
          <w:rFonts w:cs="Arial"/>
          <w:szCs w:val="24"/>
        </w:rPr>
        <w:t>The overall improvement between Quarters 1 and 2 is due to</w:t>
      </w:r>
      <w:r w:rsidR="00B75106">
        <w:rPr>
          <w:rFonts w:cs="Arial"/>
          <w:szCs w:val="24"/>
        </w:rPr>
        <w:t xml:space="preserve"> </w:t>
      </w:r>
      <w:r w:rsidR="00B75106" w:rsidRPr="00B75106">
        <w:rPr>
          <w:rFonts w:cs="Arial"/>
          <w:szCs w:val="24"/>
        </w:rPr>
        <w:t>is due to</w:t>
      </w:r>
      <w:r w:rsidR="008E1C20">
        <w:rPr>
          <w:rFonts w:cs="Arial"/>
          <w:szCs w:val="24"/>
        </w:rPr>
        <w:t xml:space="preserve"> an</w:t>
      </w:r>
      <w:r w:rsidR="00B75106" w:rsidRPr="00B75106">
        <w:rPr>
          <w:rFonts w:cs="Arial"/>
          <w:szCs w:val="24"/>
        </w:rPr>
        <w:t xml:space="preserve"> improving position in Arts and Heritage, as described above </w:t>
      </w:r>
      <w:r w:rsidR="00B75106">
        <w:rPr>
          <w:rFonts w:cs="Arial"/>
          <w:szCs w:val="24"/>
        </w:rPr>
        <w:t>in paragraph 3</w:t>
      </w:r>
      <w:r w:rsidR="008E1C20">
        <w:rPr>
          <w:rFonts w:cs="Arial"/>
          <w:szCs w:val="24"/>
        </w:rPr>
        <w:t>2</w:t>
      </w:r>
      <w:r w:rsidR="00B75106" w:rsidRPr="00B75106">
        <w:rPr>
          <w:rFonts w:cs="Arial"/>
          <w:szCs w:val="24"/>
        </w:rPr>
        <w:t>.</w:t>
      </w:r>
    </w:p>
    <w:p w:rsidR="002E14DC" w:rsidRDefault="002E14DC" w:rsidP="00741AEB">
      <w:pPr>
        <w:keepNext/>
        <w:spacing w:after="60"/>
        <w:ind w:left="16"/>
        <w:outlineLvl w:val="0"/>
        <w:rPr>
          <w:rFonts w:cs="Arial"/>
          <w:b/>
          <w:bCs/>
          <w:kern w:val="32"/>
          <w:szCs w:val="24"/>
        </w:rPr>
      </w:pPr>
      <w:r>
        <w:rPr>
          <w:rFonts w:cs="Arial"/>
          <w:b/>
          <w:bCs/>
          <w:kern w:val="32"/>
          <w:szCs w:val="24"/>
        </w:rPr>
        <w:lastRenderedPageBreak/>
        <w:t>H</w:t>
      </w:r>
      <w:r w:rsidR="002C672F">
        <w:rPr>
          <w:rFonts w:cs="Arial"/>
          <w:b/>
          <w:bCs/>
          <w:kern w:val="32"/>
          <w:szCs w:val="24"/>
        </w:rPr>
        <w:t>ousing General Fund</w:t>
      </w:r>
    </w:p>
    <w:p w:rsidR="007B64C2" w:rsidRDefault="00FF0AF3" w:rsidP="00D44E09">
      <w:pPr>
        <w:numPr>
          <w:ilvl w:val="0"/>
          <w:numId w:val="9"/>
        </w:numPr>
        <w:ind w:hanging="720"/>
        <w:rPr>
          <w:rFonts w:cs="Arial"/>
          <w:szCs w:val="24"/>
        </w:rPr>
      </w:pPr>
      <w:r w:rsidRPr="007B64C2">
        <w:rPr>
          <w:rFonts w:cs="Arial"/>
          <w:szCs w:val="24"/>
        </w:rPr>
        <w:t xml:space="preserve">The reported pressure at Quarter 2 is £0.775m, an improvement against Quarter 1 of £1.227m. </w:t>
      </w:r>
      <w:r w:rsidR="007B64C2">
        <w:rPr>
          <w:rFonts w:cs="Arial"/>
          <w:szCs w:val="24"/>
        </w:rPr>
        <w:t>The main reasons for the improvement are:</w:t>
      </w:r>
    </w:p>
    <w:p w:rsidR="007B64C2" w:rsidRDefault="007B64C2" w:rsidP="00350F07">
      <w:pPr>
        <w:pStyle w:val="ListParagraph"/>
        <w:numPr>
          <w:ilvl w:val="1"/>
          <w:numId w:val="21"/>
        </w:numPr>
        <w:spacing w:after="120"/>
        <w:ind w:right="-180"/>
        <w:rPr>
          <w:rFonts w:cs="Arial"/>
          <w:szCs w:val="24"/>
        </w:rPr>
      </w:pPr>
      <w:r>
        <w:rPr>
          <w:rFonts w:cs="Arial"/>
          <w:szCs w:val="24"/>
        </w:rPr>
        <w:t xml:space="preserve">A </w:t>
      </w:r>
      <w:r w:rsidR="008E1C20">
        <w:rPr>
          <w:rFonts w:cs="Arial"/>
          <w:szCs w:val="24"/>
        </w:rPr>
        <w:t xml:space="preserve">one-off </w:t>
      </w:r>
      <w:r>
        <w:rPr>
          <w:rFonts w:cs="Arial"/>
          <w:szCs w:val="24"/>
        </w:rPr>
        <w:t>drawdown of £1m against the Welfare / Homelessness reserve.</w:t>
      </w:r>
    </w:p>
    <w:p w:rsidR="00350F07" w:rsidRDefault="00350F07" w:rsidP="00350F07">
      <w:pPr>
        <w:pStyle w:val="ListParagraph"/>
        <w:numPr>
          <w:ilvl w:val="1"/>
          <w:numId w:val="21"/>
        </w:numPr>
        <w:spacing w:after="120"/>
        <w:ind w:right="-180"/>
        <w:rPr>
          <w:rFonts w:cs="Arial"/>
          <w:szCs w:val="24"/>
        </w:rPr>
      </w:pPr>
      <w:r>
        <w:rPr>
          <w:rFonts w:cs="Arial"/>
          <w:szCs w:val="24"/>
        </w:rPr>
        <w:t xml:space="preserve">Review of charges to the HRA </w:t>
      </w:r>
      <w:r w:rsidR="000A0B39">
        <w:rPr>
          <w:rFonts w:cs="Arial"/>
          <w:szCs w:val="24"/>
        </w:rPr>
        <w:t xml:space="preserve">giving a one-off saving of </w:t>
      </w:r>
      <w:r>
        <w:rPr>
          <w:rFonts w:cs="Arial"/>
          <w:szCs w:val="24"/>
        </w:rPr>
        <w:t>£90k.</w:t>
      </w:r>
    </w:p>
    <w:p w:rsidR="00350F07" w:rsidRDefault="00BB7370" w:rsidP="00350F07">
      <w:pPr>
        <w:pStyle w:val="ListParagraph"/>
        <w:numPr>
          <w:ilvl w:val="1"/>
          <w:numId w:val="21"/>
        </w:numPr>
        <w:spacing w:after="120"/>
        <w:ind w:right="-180"/>
        <w:rPr>
          <w:rFonts w:cs="Arial"/>
          <w:szCs w:val="24"/>
        </w:rPr>
      </w:pPr>
      <w:r>
        <w:rPr>
          <w:rFonts w:cs="Arial"/>
          <w:szCs w:val="24"/>
        </w:rPr>
        <w:t>Review of staff time capitalised against regeneration projects giving a one-off saving of £51k.</w:t>
      </w:r>
    </w:p>
    <w:p w:rsidR="00FF0AF3" w:rsidRPr="007B64C2" w:rsidRDefault="00350F07" w:rsidP="00350F07">
      <w:pPr>
        <w:pStyle w:val="ListParagraph"/>
        <w:numPr>
          <w:ilvl w:val="1"/>
          <w:numId w:val="9"/>
        </w:numPr>
        <w:spacing w:after="120"/>
        <w:ind w:right="-180"/>
        <w:rPr>
          <w:rFonts w:cs="Arial"/>
          <w:szCs w:val="24"/>
        </w:rPr>
      </w:pPr>
      <w:r>
        <w:rPr>
          <w:rFonts w:cs="Arial"/>
          <w:szCs w:val="24"/>
        </w:rPr>
        <w:t>There has also been a reduction</w:t>
      </w:r>
      <w:r w:rsidR="00FF0AF3" w:rsidRPr="007B64C2">
        <w:rPr>
          <w:rFonts w:cs="Arial"/>
          <w:szCs w:val="24"/>
        </w:rPr>
        <w:t xml:space="preserve"> of households in Bed &amp; Breakfast combined with clarity around set up costs of the Council’s Private Lettings Agency and split of officer time against HRA, both resulting in reduced pressure for Housing General Fund. </w:t>
      </w:r>
    </w:p>
    <w:p w:rsidR="00FF0AF3" w:rsidRPr="00FF0AF3" w:rsidRDefault="00FF0AF3" w:rsidP="00FF0AF3">
      <w:pPr>
        <w:rPr>
          <w:rFonts w:cs="Arial"/>
          <w:szCs w:val="24"/>
        </w:rPr>
      </w:pPr>
      <w:r w:rsidRPr="00FF0AF3">
        <w:rPr>
          <w:rFonts w:cs="Arial"/>
          <w:szCs w:val="24"/>
        </w:rPr>
        <w:t>In summary, the pressure mainly comprises:</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Bed &amp; Breakfast accommodation (“B&amp;B”) - £1.172m pressure</w:t>
      </w:r>
    </w:p>
    <w:p w:rsidR="00FF0AF3" w:rsidRPr="00FF0AF3" w:rsidRDefault="00FF0AF3" w:rsidP="00350F07">
      <w:pPr>
        <w:ind w:left="720" w:hanging="11"/>
        <w:rPr>
          <w:rFonts w:cs="Arial"/>
          <w:szCs w:val="24"/>
        </w:rPr>
      </w:pPr>
      <w:r w:rsidRPr="00FF0AF3">
        <w:rPr>
          <w:rFonts w:cs="Arial"/>
          <w:szCs w:val="24"/>
        </w:rPr>
        <w:t xml:space="preserve">In 2014-15 the average number of households in B&amp;B was 142 at an average cost of £219.88, net of Housing Benefit (“HB”). This number was 153 at the end of the financial year. </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As at 4th October the number of households in B&amp;B stood at 227 and the budget holder estimates an average of 218 households for 2015-16 at any one time, costing an ave</w:t>
      </w:r>
      <w:r w:rsidR="00350F07">
        <w:rPr>
          <w:rFonts w:cs="Arial"/>
          <w:szCs w:val="24"/>
        </w:rPr>
        <w:t>rage £199.92 per week net of HB</w:t>
      </w:r>
      <w:r w:rsidRPr="00FF0AF3">
        <w:rPr>
          <w:rFonts w:cs="Arial"/>
          <w:szCs w:val="24"/>
        </w:rPr>
        <w:t>. This equates to estimated net expenditure of £2.204m against a budget of £1.032m yielding a pressure of £1.172m</w:t>
      </w:r>
      <w:r w:rsidR="00350F07">
        <w:rPr>
          <w:rFonts w:cs="Arial"/>
          <w:szCs w:val="24"/>
        </w:rPr>
        <w:t>.</w:t>
      </w:r>
      <w:r w:rsidRPr="00FF0AF3">
        <w:rPr>
          <w:rFonts w:cs="Arial"/>
          <w:szCs w:val="24"/>
        </w:rPr>
        <w:t xml:space="preserve"> </w:t>
      </w:r>
    </w:p>
    <w:p w:rsidR="00FF0AF3" w:rsidRPr="00FF0AF3" w:rsidRDefault="00FF0AF3" w:rsidP="00FF0AF3">
      <w:pPr>
        <w:rPr>
          <w:rFonts w:cs="Arial"/>
          <w:szCs w:val="24"/>
        </w:rPr>
      </w:pPr>
    </w:p>
    <w:p w:rsidR="00FF0AF3" w:rsidRPr="00FF0AF3" w:rsidRDefault="00FF0AF3" w:rsidP="00D44E09">
      <w:pPr>
        <w:numPr>
          <w:ilvl w:val="0"/>
          <w:numId w:val="9"/>
        </w:numPr>
        <w:spacing w:after="240"/>
        <w:ind w:hanging="720"/>
        <w:rPr>
          <w:rFonts w:cs="Arial"/>
          <w:szCs w:val="24"/>
        </w:rPr>
      </w:pPr>
      <w:r w:rsidRPr="00FF0AF3">
        <w:rPr>
          <w:rFonts w:cs="Arial"/>
          <w:szCs w:val="24"/>
        </w:rPr>
        <w:t>Private Sector Leasing (“PSL”) - £136k pressure</w:t>
      </w:r>
      <w:r w:rsidRPr="00FF0AF3">
        <w:rPr>
          <w:rFonts w:cs="Arial"/>
          <w:szCs w:val="24"/>
        </w:rPr>
        <w:tab/>
      </w:r>
      <w:r w:rsidRPr="00FF0AF3">
        <w:rPr>
          <w:rFonts w:cs="Arial"/>
          <w:szCs w:val="24"/>
        </w:rPr>
        <w:tab/>
      </w:r>
    </w:p>
    <w:p w:rsidR="00FF0AF3" w:rsidRPr="00FF0AF3" w:rsidRDefault="00FF0AF3" w:rsidP="00D44E09">
      <w:pPr>
        <w:numPr>
          <w:ilvl w:val="0"/>
          <w:numId w:val="9"/>
        </w:numPr>
        <w:spacing w:after="240"/>
        <w:ind w:hanging="720"/>
        <w:rPr>
          <w:rFonts w:cs="Arial"/>
          <w:szCs w:val="24"/>
        </w:rPr>
      </w:pPr>
      <w:r w:rsidRPr="00FF0AF3">
        <w:rPr>
          <w:rFonts w:cs="Arial"/>
          <w:szCs w:val="24"/>
        </w:rPr>
        <w:t>In 2014-15 the average number of households in PSL was 277 yielding a surplus of £58.65 per week per household, net of housing benefit.</w:t>
      </w:r>
    </w:p>
    <w:p w:rsidR="00FF0AF3" w:rsidRPr="00FF0AF3" w:rsidRDefault="00FF0AF3" w:rsidP="00D44E09">
      <w:pPr>
        <w:numPr>
          <w:ilvl w:val="0"/>
          <w:numId w:val="9"/>
        </w:numPr>
        <w:ind w:hanging="720"/>
        <w:rPr>
          <w:rFonts w:cs="Arial"/>
          <w:szCs w:val="24"/>
        </w:rPr>
      </w:pPr>
      <w:r w:rsidRPr="00FF0AF3">
        <w:rPr>
          <w:rFonts w:cs="Arial"/>
          <w:szCs w:val="24"/>
        </w:rPr>
        <w:t>As at 4th October the number of</w:t>
      </w:r>
      <w:r w:rsidR="00350F07">
        <w:rPr>
          <w:rFonts w:cs="Arial"/>
          <w:szCs w:val="24"/>
        </w:rPr>
        <w:t xml:space="preserve"> households in PSL stood at 305</w:t>
      </w:r>
      <w:r w:rsidRPr="00FF0AF3">
        <w:rPr>
          <w:rFonts w:cs="Arial"/>
          <w:szCs w:val="24"/>
        </w:rPr>
        <w:t>, although this number is expected to stand at 365 at the end of the financial year assuming four new agreements are acquired every week and the majority of agreements coming to an end are extended. This produces an average of 317 PSL agreements at any one time and although the current average surplus generated is £46.01 the forecast assumes this will reduce to £35.00 per week given the higher rent payments required to private landlords. These assumptions indicate an estimated surplus of £</w:t>
      </w:r>
      <w:r w:rsidR="00350F07">
        <w:rPr>
          <w:rFonts w:cs="Arial"/>
          <w:szCs w:val="24"/>
        </w:rPr>
        <w:t>0.</w:t>
      </w:r>
      <w:r w:rsidRPr="00FF0AF3">
        <w:rPr>
          <w:rFonts w:cs="Arial"/>
          <w:szCs w:val="24"/>
        </w:rPr>
        <w:t>576</w:t>
      </w:r>
      <w:r w:rsidR="00350F07">
        <w:rPr>
          <w:rFonts w:cs="Arial"/>
          <w:szCs w:val="24"/>
        </w:rPr>
        <w:t>m</w:t>
      </w:r>
      <w:r w:rsidRPr="00FF0AF3">
        <w:rPr>
          <w:rFonts w:cs="Arial"/>
          <w:szCs w:val="24"/>
        </w:rPr>
        <w:t xml:space="preserve"> against a budget of £</w:t>
      </w:r>
      <w:r w:rsidR="00350F07">
        <w:rPr>
          <w:rFonts w:cs="Arial"/>
          <w:szCs w:val="24"/>
        </w:rPr>
        <w:t>0.</w:t>
      </w:r>
      <w:r w:rsidRPr="00FF0AF3">
        <w:rPr>
          <w:rFonts w:cs="Arial"/>
          <w:szCs w:val="24"/>
        </w:rPr>
        <w:t>712</w:t>
      </w:r>
      <w:r w:rsidR="00350F07">
        <w:rPr>
          <w:rFonts w:cs="Arial"/>
          <w:szCs w:val="24"/>
        </w:rPr>
        <w:t>m</w:t>
      </w:r>
      <w:r w:rsidRPr="00FF0AF3">
        <w:rPr>
          <w:rFonts w:cs="Arial"/>
          <w:szCs w:val="24"/>
        </w:rPr>
        <w:t xml:space="preserve"> yielding a pressure of £136k, and as it becomes more difficult to procure new leases, rents offered to new owners are increasing, reducing the surplus to cover administration and management costs. </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Discretionary Housing Payments (“DHP”) - £400k pressure</w:t>
      </w:r>
    </w:p>
    <w:p w:rsidR="00FF0AF3" w:rsidRPr="00FF0AF3" w:rsidRDefault="00FF0AF3" w:rsidP="00350F07">
      <w:pPr>
        <w:ind w:left="709"/>
        <w:rPr>
          <w:rFonts w:cs="Arial"/>
          <w:szCs w:val="24"/>
        </w:rPr>
      </w:pPr>
      <w:r w:rsidRPr="00FF0AF3">
        <w:rPr>
          <w:rFonts w:cs="Arial"/>
          <w:szCs w:val="24"/>
        </w:rPr>
        <w:t>In 2014-15 £1.138m was allocated to the service which was insufficient. The allocation for 2015-16 has been reduced by some 40% to £677k. A process of prioritising DHP payments benefitting the General Fund has been agreed with Revenues &amp; Benefits section with payments to Council tenants funded from the HRA. A pressure is expected despite this.</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Bad Debt provision – £146k pressure</w:t>
      </w:r>
    </w:p>
    <w:p w:rsidR="00FF0AF3" w:rsidRPr="00FF0AF3" w:rsidRDefault="00FF0AF3" w:rsidP="00350F07">
      <w:pPr>
        <w:ind w:left="709"/>
        <w:rPr>
          <w:rFonts w:cs="Arial"/>
          <w:szCs w:val="24"/>
        </w:rPr>
      </w:pPr>
      <w:r w:rsidRPr="00FF0AF3">
        <w:rPr>
          <w:rFonts w:cs="Arial"/>
          <w:szCs w:val="24"/>
        </w:rPr>
        <w:t xml:space="preserve">Provision for bad debts at close 2014-15 was £358k. Write offs of £27k have since been approved, including charges for utilities from 2009 at Anmer Lodge as the contractor has gone into liquidation. </w:t>
      </w:r>
      <w:proofErr w:type="gramStart"/>
      <w:r w:rsidRPr="00FF0AF3">
        <w:rPr>
          <w:rFonts w:cs="Arial"/>
          <w:szCs w:val="24"/>
        </w:rPr>
        <w:t>Financial circumstances of majority of households in temporary accommodation requires</w:t>
      </w:r>
      <w:proofErr w:type="gramEnd"/>
      <w:r w:rsidRPr="00FF0AF3">
        <w:rPr>
          <w:rFonts w:cs="Arial"/>
          <w:szCs w:val="24"/>
        </w:rPr>
        <w:t xml:space="preserve"> a regular review of debtors. This now indicates a further contribution of £196k is required against a budget of £50k.</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 xml:space="preserve">Other, Housing Needs - £8k pressure, relating to staffing costs which indicates </w:t>
      </w:r>
      <w:r w:rsidR="007B64C2">
        <w:rPr>
          <w:rFonts w:cs="Arial"/>
          <w:szCs w:val="24"/>
        </w:rPr>
        <w:t xml:space="preserve">the </w:t>
      </w:r>
      <w:r w:rsidRPr="00FF0AF3">
        <w:rPr>
          <w:rFonts w:cs="Arial"/>
          <w:szCs w:val="24"/>
        </w:rPr>
        <w:t>early saving of £18k is partially achieved.</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Other GF services - £4k pressure</w:t>
      </w:r>
    </w:p>
    <w:p w:rsidR="00FF0AF3" w:rsidRPr="00FF0AF3" w:rsidRDefault="00FF0AF3" w:rsidP="00350F07">
      <w:pPr>
        <w:ind w:left="709"/>
        <w:rPr>
          <w:rFonts w:cs="Arial"/>
          <w:szCs w:val="24"/>
        </w:rPr>
      </w:pPr>
      <w:r w:rsidRPr="00FF0AF3">
        <w:rPr>
          <w:rFonts w:cs="Arial"/>
          <w:szCs w:val="24"/>
        </w:rPr>
        <w:t>Agency costs which are expected to be substantially funded from Chief Executive Transformation Fund and Private Lettings Agency, assuming work ends on these projects December 2015.</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Resident Services – £22k pressure</w:t>
      </w:r>
    </w:p>
    <w:p w:rsidR="00FF0AF3" w:rsidRPr="00FF0AF3" w:rsidRDefault="00FF0AF3" w:rsidP="00350F07">
      <w:pPr>
        <w:ind w:left="709"/>
        <w:rPr>
          <w:rFonts w:cs="Arial"/>
          <w:szCs w:val="24"/>
        </w:rPr>
      </w:pPr>
      <w:proofErr w:type="gramStart"/>
      <w:r w:rsidRPr="00FF0AF3">
        <w:rPr>
          <w:rFonts w:cs="Arial"/>
          <w:szCs w:val="24"/>
        </w:rPr>
        <w:t>Relates to management costs to ensure compliance with applicable legislation.</w:t>
      </w:r>
      <w:proofErr w:type="gramEnd"/>
      <w:r w:rsidRPr="00FF0AF3">
        <w:rPr>
          <w:rFonts w:cs="Arial"/>
          <w:szCs w:val="24"/>
        </w:rPr>
        <w:t xml:space="preserve"> </w:t>
      </w:r>
    </w:p>
    <w:p w:rsidR="00FF0AF3" w:rsidRPr="00FF0AF3" w:rsidRDefault="00FF0AF3" w:rsidP="00FF0AF3">
      <w:pPr>
        <w:rPr>
          <w:rFonts w:cs="Arial"/>
          <w:szCs w:val="24"/>
        </w:rPr>
      </w:pPr>
    </w:p>
    <w:p w:rsidR="00FF0AF3" w:rsidRPr="00FF0AF3" w:rsidRDefault="00FF0AF3" w:rsidP="00D44E09">
      <w:pPr>
        <w:numPr>
          <w:ilvl w:val="0"/>
          <w:numId w:val="9"/>
        </w:numPr>
        <w:ind w:hanging="720"/>
        <w:rPr>
          <w:rFonts w:cs="Arial"/>
          <w:szCs w:val="24"/>
        </w:rPr>
      </w:pPr>
      <w:r w:rsidRPr="00FF0AF3">
        <w:rPr>
          <w:rFonts w:cs="Arial"/>
          <w:szCs w:val="24"/>
        </w:rPr>
        <w:t xml:space="preserve">Harrow Stay Put - £30k pressure </w:t>
      </w:r>
    </w:p>
    <w:p w:rsidR="00FF0AF3" w:rsidRPr="00FF0AF3" w:rsidRDefault="00FF0AF3" w:rsidP="00350F07">
      <w:pPr>
        <w:ind w:left="709"/>
        <w:rPr>
          <w:rFonts w:cs="Arial"/>
          <w:szCs w:val="24"/>
        </w:rPr>
      </w:pPr>
      <w:r w:rsidRPr="00FF0AF3">
        <w:rPr>
          <w:rFonts w:cs="Arial"/>
          <w:szCs w:val="24"/>
        </w:rPr>
        <w:t>Pressure relates to agency cover for sickness. Costs of £68k incurred in respect of the Green Deal Energy Efficiency scheme are expected to be fully funded by grant from the Department of Energy &amp; Climate Change.</w:t>
      </w:r>
    </w:p>
    <w:p w:rsidR="002C672F" w:rsidRPr="006B1DE1" w:rsidRDefault="002C672F" w:rsidP="002C672F">
      <w:pPr>
        <w:rPr>
          <w:rFonts w:cs="Arial"/>
          <w:iCs/>
          <w:szCs w:val="24"/>
          <w:lang w:eastAsia="ar-SA"/>
        </w:rPr>
      </w:pPr>
    </w:p>
    <w:p w:rsidR="00C81947" w:rsidRPr="00C81947" w:rsidRDefault="00C81947" w:rsidP="00C81947">
      <w:pPr>
        <w:suppressAutoHyphens/>
        <w:rPr>
          <w:rFonts w:cs="Arial"/>
          <w:b/>
          <w:iCs/>
          <w:szCs w:val="24"/>
          <w:highlight w:val="cyan"/>
          <w:lang w:eastAsia="ar-SA"/>
        </w:rPr>
      </w:pPr>
      <w:r w:rsidRPr="00C81947">
        <w:rPr>
          <w:rFonts w:cs="Arial"/>
          <w:b/>
          <w:iCs/>
          <w:szCs w:val="24"/>
          <w:lang w:eastAsia="ar-SA"/>
        </w:rPr>
        <w:t>H</w:t>
      </w:r>
      <w:r w:rsidR="000A4437">
        <w:rPr>
          <w:rFonts w:cs="Arial"/>
          <w:b/>
          <w:iCs/>
          <w:szCs w:val="24"/>
          <w:lang w:eastAsia="ar-SA"/>
        </w:rPr>
        <w:t>ousing Revenue Account</w:t>
      </w:r>
    </w:p>
    <w:p w:rsidR="00C81947" w:rsidRPr="00C81947" w:rsidRDefault="005255D6" w:rsidP="00D44E09">
      <w:pPr>
        <w:numPr>
          <w:ilvl w:val="0"/>
          <w:numId w:val="9"/>
        </w:numPr>
        <w:ind w:hanging="720"/>
        <w:rPr>
          <w:rFonts w:cs="Arial"/>
          <w:szCs w:val="24"/>
          <w:lang w:eastAsia="en-GB"/>
        </w:rPr>
      </w:pPr>
      <w:r w:rsidRPr="00350F07">
        <w:rPr>
          <w:rFonts w:cs="Arial"/>
          <w:szCs w:val="24"/>
        </w:rPr>
        <w:t>The</w:t>
      </w:r>
      <w:r w:rsidRPr="00677717">
        <w:rPr>
          <w:rFonts w:cs="Arial"/>
          <w:lang w:eastAsia="en-GB"/>
        </w:rPr>
        <w:t xml:space="preserve"> forecast outturn shows a </w:t>
      </w:r>
      <w:r w:rsidRPr="00FD1A9C">
        <w:rPr>
          <w:rFonts w:cs="Arial"/>
          <w:lang w:eastAsia="en-GB"/>
        </w:rPr>
        <w:t>capacity of £84k, a deterioration of £59k against</w:t>
      </w:r>
      <w:r>
        <w:rPr>
          <w:rFonts w:cs="Arial"/>
          <w:lang w:eastAsia="en-GB"/>
        </w:rPr>
        <w:t xml:space="preserve"> Quarter 1 resulting from valuation losses on garages.</w:t>
      </w:r>
    </w:p>
    <w:p w:rsidR="00C81947" w:rsidRPr="00C81947" w:rsidRDefault="00C81947" w:rsidP="00C81947">
      <w:pPr>
        <w:jc w:val="both"/>
        <w:rPr>
          <w:rFonts w:cs="Arial"/>
          <w:szCs w:val="24"/>
          <w:lang w:eastAsia="en-GB"/>
        </w:rPr>
      </w:pPr>
    </w:p>
    <w:p w:rsidR="00C81947" w:rsidRPr="00C81947" w:rsidRDefault="00C81947" w:rsidP="00D44E09">
      <w:pPr>
        <w:numPr>
          <w:ilvl w:val="0"/>
          <w:numId w:val="9"/>
        </w:numPr>
        <w:ind w:hanging="720"/>
        <w:rPr>
          <w:rFonts w:cs="Arial"/>
          <w:sz w:val="22"/>
          <w:szCs w:val="22"/>
          <w:lang w:eastAsia="en-GB"/>
        </w:rPr>
      </w:pPr>
      <w:r w:rsidRPr="00C81947">
        <w:rPr>
          <w:rFonts w:cs="Arial"/>
          <w:szCs w:val="24"/>
        </w:rPr>
        <w:t>The</w:t>
      </w:r>
      <w:r w:rsidRPr="00C81947">
        <w:rPr>
          <w:rFonts w:cs="Arial"/>
          <w:szCs w:val="24"/>
          <w:lang w:eastAsia="en-GB"/>
        </w:rPr>
        <w:t xml:space="preserve"> forecast outturn includes increased expenditure on the Affordable Housing programme and cyclical repairs offset by reduced depreciation charges of £321k relating to dwellings which are subject to redevelopment together with lower than expected interest payments.</w:t>
      </w:r>
    </w:p>
    <w:p w:rsidR="00C81947" w:rsidRPr="00C81947" w:rsidRDefault="00C81947" w:rsidP="00C81947">
      <w:pPr>
        <w:jc w:val="both"/>
        <w:rPr>
          <w:rFonts w:cs="Arial"/>
          <w:sz w:val="22"/>
          <w:szCs w:val="22"/>
          <w:lang w:eastAsia="en-GB"/>
        </w:rPr>
      </w:pPr>
    </w:p>
    <w:p w:rsidR="00C81947" w:rsidRPr="00C81947" w:rsidRDefault="00C81947" w:rsidP="00D44E09">
      <w:pPr>
        <w:numPr>
          <w:ilvl w:val="0"/>
          <w:numId w:val="9"/>
        </w:numPr>
        <w:ind w:hanging="720"/>
        <w:rPr>
          <w:rFonts w:cs="Arial"/>
          <w:szCs w:val="24"/>
          <w:lang w:eastAsia="en-GB"/>
        </w:rPr>
      </w:pPr>
      <w:r w:rsidRPr="00C81947">
        <w:rPr>
          <w:rFonts w:cs="Arial"/>
          <w:szCs w:val="24"/>
          <w:lang w:eastAsia="en-GB"/>
        </w:rPr>
        <w:t>Under current regulations valuation losses for HRA non-dwellings in excess of balances on the revaluation reserve are charged to revenue thereby having a direct impact on financial resources. Council Valuers have provided provisional valuations for HRA non dwellings and, based on these, valuation losses of £177k are expected relating to garages, which are included in the above estimates.</w:t>
      </w:r>
    </w:p>
    <w:p w:rsidR="00C81947" w:rsidRPr="00C81947" w:rsidRDefault="00C81947" w:rsidP="00C81947">
      <w:pPr>
        <w:jc w:val="both"/>
        <w:rPr>
          <w:rFonts w:cs="Arial"/>
          <w:sz w:val="22"/>
          <w:szCs w:val="22"/>
          <w:lang w:eastAsia="en-GB"/>
        </w:rPr>
      </w:pPr>
    </w:p>
    <w:p w:rsidR="00C60D02" w:rsidRDefault="00C81947" w:rsidP="00C60D02">
      <w:pPr>
        <w:jc w:val="both"/>
        <w:rPr>
          <w:rFonts w:cs="Arial"/>
          <w:b/>
          <w:szCs w:val="24"/>
          <w:highlight w:val="cyan"/>
        </w:rPr>
      </w:pPr>
      <w:r w:rsidRPr="00C81947">
        <w:rPr>
          <w:rFonts w:cs="Arial"/>
          <w:szCs w:val="24"/>
          <w:lang w:eastAsia="en-GB"/>
        </w:rPr>
        <w:t>A summary of the HRA position is provided below which includes estimated balances.</w:t>
      </w:r>
    </w:p>
    <w:tbl>
      <w:tblPr>
        <w:tblW w:w="867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418"/>
        <w:gridCol w:w="1417"/>
        <w:gridCol w:w="1276"/>
        <w:gridCol w:w="1276"/>
      </w:tblGrid>
      <w:tr w:rsidR="00965ABD" w:rsidRPr="00C00B0F" w:rsidTr="00965ABD">
        <w:trPr>
          <w:trHeight w:val="564"/>
        </w:trPr>
        <w:tc>
          <w:tcPr>
            <w:tcW w:w="3284" w:type="dxa"/>
            <w:tcBorders>
              <w:top w:val="single" w:sz="4" w:space="0" w:color="auto"/>
            </w:tcBorders>
            <w:shd w:val="clear" w:color="auto" w:fill="auto"/>
            <w:vAlign w:val="center"/>
            <w:hideMark/>
          </w:tcPr>
          <w:p w:rsidR="00965ABD" w:rsidRDefault="00965ABD" w:rsidP="00965ABD">
            <w:pPr>
              <w:rPr>
                <w:rFonts w:cs="Arial"/>
                <w:b/>
                <w:bCs/>
                <w:color w:val="000000"/>
                <w:lang w:eastAsia="en-GB"/>
              </w:rPr>
            </w:pPr>
            <w:r w:rsidRPr="00C00B0F">
              <w:rPr>
                <w:rFonts w:cs="Arial"/>
                <w:b/>
                <w:bCs/>
                <w:color w:val="000000"/>
                <w:lang w:eastAsia="en-GB"/>
              </w:rPr>
              <w:t xml:space="preserve">HRA revenue balances </w:t>
            </w:r>
          </w:p>
          <w:p w:rsidR="00965ABD" w:rsidRPr="00C00B0F" w:rsidRDefault="00965ABD" w:rsidP="00965ABD">
            <w:pPr>
              <w:rPr>
                <w:rFonts w:cs="Arial"/>
                <w:b/>
                <w:bCs/>
                <w:color w:val="000000"/>
                <w:lang w:eastAsia="en-GB"/>
              </w:rPr>
            </w:pPr>
            <w:r w:rsidRPr="00C00B0F">
              <w:rPr>
                <w:rFonts w:cs="Arial"/>
                <w:b/>
                <w:bCs/>
                <w:color w:val="000000"/>
                <w:lang w:eastAsia="en-GB"/>
              </w:rPr>
              <w:t>£'000</w:t>
            </w:r>
          </w:p>
        </w:tc>
        <w:tc>
          <w:tcPr>
            <w:tcW w:w="1418" w:type="dxa"/>
            <w:tcBorders>
              <w:top w:val="single" w:sz="4" w:space="0" w:color="auto"/>
            </w:tcBorders>
            <w:shd w:val="clear" w:color="auto" w:fill="auto"/>
            <w:vAlign w:val="center"/>
            <w:hideMark/>
          </w:tcPr>
          <w:p w:rsidR="00965ABD" w:rsidRPr="00C00B0F" w:rsidRDefault="00965ABD" w:rsidP="00965ABD">
            <w:pPr>
              <w:jc w:val="right"/>
              <w:rPr>
                <w:rFonts w:cs="Arial"/>
                <w:b/>
                <w:bCs/>
                <w:color w:val="000000"/>
                <w:lang w:eastAsia="en-GB"/>
              </w:rPr>
            </w:pPr>
            <w:r w:rsidRPr="00C00B0F">
              <w:rPr>
                <w:rFonts w:cs="Arial"/>
                <w:b/>
                <w:bCs/>
                <w:color w:val="000000"/>
                <w:lang w:eastAsia="en-GB"/>
              </w:rPr>
              <w:t>Original budget</w:t>
            </w:r>
          </w:p>
        </w:tc>
        <w:tc>
          <w:tcPr>
            <w:tcW w:w="1417" w:type="dxa"/>
            <w:tcBorders>
              <w:top w:val="single" w:sz="4" w:space="0" w:color="auto"/>
            </w:tcBorders>
            <w:shd w:val="clear" w:color="auto" w:fill="auto"/>
            <w:vAlign w:val="center"/>
            <w:hideMark/>
          </w:tcPr>
          <w:p w:rsidR="00965ABD" w:rsidRPr="00C00B0F" w:rsidRDefault="00965ABD" w:rsidP="00965ABD">
            <w:pPr>
              <w:jc w:val="right"/>
              <w:rPr>
                <w:rFonts w:cs="Arial"/>
                <w:b/>
                <w:bCs/>
                <w:color w:val="000000"/>
                <w:lang w:eastAsia="en-GB"/>
              </w:rPr>
            </w:pPr>
            <w:r w:rsidRPr="00C00B0F">
              <w:rPr>
                <w:rFonts w:cs="Arial"/>
                <w:b/>
                <w:bCs/>
                <w:color w:val="000000"/>
                <w:lang w:eastAsia="en-GB"/>
              </w:rPr>
              <w:t>Revised Budget</w:t>
            </w:r>
          </w:p>
        </w:tc>
        <w:tc>
          <w:tcPr>
            <w:tcW w:w="1276" w:type="dxa"/>
            <w:tcBorders>
              <w:top w:val="single" w:sz="4" w:space="0" w:color="auto"/>
            </w:tcBorders>
            <w:shd w:val="clear" w:color="auto" w:fill="auto"/>
            <w:vAlign w:val="center"/>
            <w:hideMark/>
          </w:tcPr>
          <w:p w:rsidR="00965ABD" w:rsidRPr="00C00B0F" w:rsidRDefault="00965ABD" w:rsidP="00965ABD">
            <w:pPr>
              <w:jc w:val="right"/>
              <w:rPr>
                <w:rFonts w:cs="Arial"/>
                <w:b/>
                <w:bCs/>
                <w:color w:val="000000"/>
                <w:lang w:eastAsia="en-GB"/>
              </w:rPr>
            </w:pPr>
            <w:r w:rsidRPr="00C00B0F">
              <w:rPr>
                <w:rFonts w:cs="Arial"/>
                <w:b/>
                <w:bCs/>
                <w:color w:val="000000"/>
                <w:lang w:eastAsia="en-GB"/>
              </w:rPr>
              <w:t>Forecast outturn</w:t>
            </w:r>
          </w:p>
        </w:tc>
        <w:tc>
          <w:tcPr>
            <w:tcW w:w="1276" w:type="dxa"/>
            <w:tcBorders>
              <w:top w:val="single" w:sz="4" w:space="0" w:color="auto"/>
            </w:tcBorders>
          </w:tcPr>
          <w:p w:rsidR="00965ABD" w:rsidRPr="00C00B0F" w:rsidRDefault="00965ABD" w:rsidP="00965ABD">
            <w:pPr>
              <w:jc w:val="right"/>
              <w:rPr>
                <w:rFonts w:cs="Arial"/>
                <w:b/>
                <w:bCs/>
                <w:color w:val="000000"/>
                <w:lang w:eastAsia="en-GB"/>
              </w:rPr>
            </w:pPr>
            <w:r>
              <w:rPr>
                <w:rFonts w:cs="Arial"/>
                <w:b/>
                <w:bCs/>
                <w:color w:val="000000"/>
                <w:lang w:eastAsia="en-GB"/>
              </w:rPr>
              <w:t>Variation</w:t>
            </w:r>
          </w:p>
        </w:tc>
      </w:tr>
      <w:tr w:rsidR="00965ABD" w:rsidRPr="009E01D0" w:rsidTr="00965ABD">
        <w:trPr>
          <w:trHeight w:val="442"/>
        </w:trPr>
        <w:tc>
          <w:tcPr>
            <w:tcW w:w="3284" w:type="dxa"/>
            <w:shd w:val="clear" w:color="auto" w:fill="auto"/>
            <w:vAlign w:val="center"/>
            <w:hideMark/>
          </w:tcPr>
          <w:p w:rsidR="00965ABD" w:rsidRPr="009E01D0" w:rsidRDefault="00965ABD" w:rsidP="00965ABD">
            <w:pPr>
              <w:rPr>
                <w:rFonts w:cs="Arial"/>
                <w:color w:val="000000"/>
                <w:lang w:eastAsia="en-GB"/>
              </w:rPr>
            </w:pPr>
            <w:r w:rsidRPr="009E01D0">
              <w:rPr>
                <w:rFonts w:cs="Arial"/>
                <w:color w:val="000000"/>
                <w:lang w:eastAsia="en-GB"/>
              </w:rPr>
              <w:t>Balance b/</w:t>
            </w:r>
            <w:proofErr w:type="spellStart"/>
            <w:r w:rsidRPr="009E01D0">
              <w:rPr>
                <w:rFonts w:cs="Arial"/>
                <w:color w:val="000000"/>
                <w:lang w:eastAsia="en-GB"/>
              </w:rPr>
              <w:t>fwd</w:t>
            </w:r>
            <w:proofErr w:type="spellEnd"/>
          </w:p>
        </w:tc>
        <w:tc>
          <w:tcPr>
            <w:tcW w:w="1418"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-4,395</w:t>
            </w:r>
          </w:p>
        </w:tc>
        <w:tc>
          <w:tcPr>
            <w:tcW w:w="1417"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-4,395</w:t>
            </w:r>
          </w:p>
        </w:tc>
        <w:tc>
          <w:tcPr>
            <w:tcW w:w="1276"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-4,585</w:t>
            </w:r>
          </w:p>
        </w:tc>
        <w:tc>
          <w:tcPr>
            <w:tcW w:w="1276" w:type="dxa"/>
            <w:shd w:val="clear" w:color="000000" w:fill="FFFFFF"/>
            <w:vAlign w:val="center"/>
          </w:tcPr>
          <w:p w:rsidR="00965ABD" w:rsidRPr="009E01D0" w:rsidRDefault="00965ABD" w:rsidP="00965ABD">
            <w:pPr>
              <w:jc w:val="right"/>
              <w:rPr>
                <w:rFonts w:cs="Arial"/>
                <w:lang w:eastAsia="en-GB"/>
              </w:rPr>
            </w:pPr>
            <w:r>
              <w:rPr>
                <w:rFonts w:cs="Arial"/>
                <w:lang w:eastAsia="en-GB"/>
              </w:rPr>
              <w:t>-190</w:t>
            </w:r>
          </w:p>
        </w:tc>
      </w:tr>
      <w:tr w:rsidR="00965ABD" w:rsidRPr="009E01D0" w:rsidTr="00965ABD">
        <w:trPr>
          <w:trHeight w:val="381"/>
        </w:trPr>
        <w:tc>
          <w:tcPr>
            <w:tcW w:w="3284" w:type="dxa"/>
            <w:shd w:val="clear" w:color="auto" w:fill="auto"/>
            <w:vAlign w:val="center"/>
            <w:hideMark/>
          </w:tcPr>
          <w:p w:rsidR="00965ABD" w:rsidRPr="009E01D0" w:rsidRDefault="00965ABD" w:rsidP="00965ABD">
            <w:pPr>
              <w:rPr>
                <w:rFonts w:cs="Arial"/>
                <w:color w:val="000000"/>
                <w:lang w:eastAsia="en-GB"/>
              </w:rPr>
            </w:pPr>
            <w:r w:rsidRPr="009E01D0">
              <w:rPr>
                <w:rFonts w:cs="Arial"/>
                <w:color w:val="000000"/>
                <w:lang w:eastAsia="en-GB"/>
              </w:rPr>
              <w:t>Net (surplus) deficit</w:t>
            </w:r>
          </w:p>
        </w:tc>
        <w:tc>
          <w:tcPr>
            <w:tcW w:w="1418"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-567</w:t>
            </w:r>
          </w:p>
        </w:tc>
        <w:tc>
          <w:tcPr>
            <w:tcW w:w="1417"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-60</w:t>
            </w:r>
            <w:r>
              <w:rPr>
                <w:rFonts w:cs="Arial"/>
                <w:lang w:eastAsia="en-GB"/>
              </w:rPr>
              <w:t>1</w:t>
            </w:r>
          </w:p>
        </w:tc>
        <w:tc>
          <w:tcPr>
            <w:tcW w:w="1276" w:type="dxa"/>
            <w:shd w:val="clear" w:color="000000" w:fill="FFFFFF"/>
            <w:vAlign w:val="center"/>
          </w:tcPr>
          <w:p w:rsidR="00965ABD" w:rsidRPr="009E01D0" w:rsidRDefault="00965ABD" w:rsidP="00965ABD">
            <w:pPr>
              <w:jc w:val="right"/>
              <w:rPr>
                <w:rFonts w:cs="Arial"/>
                <w:lang w:eastAsia="en-GB"/>
              </w:rPr>
            </w:pPr>
            <w:r>
              <w:rPr>
                <w:rFonts w:cs="Arial"/>
                <w:lang w:eastAsia="en-GB"/>
              </w:rPr>
              <w:t>-595</w:t>
            </w:r>
          </w:p>
        </w:tc>
        <w:tc>
          <w:tcPr>
            <w:tcW w:w="1276" w:type="dxa"/>
            <w:shd w:val="clear" w:color="000000" w:fill="FFFFFF"/>
            <w:vAlign w:val="center"/>
          </w:tcPr>
          <w:p w:rsidR="00965ABD" w:rsidRPr="009E01D0" w:rsidRDefault="00965ABD" w:rsidP="00965ABD">
            <w:pPr>
              <w:jc w:val="right"/>
              <w:rPr>
                <w:rFonts w:cs="Arial"/>
                <w:lang w:eastAsia="en-GB"/>
              </w:rPr>
            </w:pPr>
            <w:r>
              <w:rPr>
                <w:rFonts w:cs="Arial"/>
                <w:lang w:eastAsia="en-GB"/>
              </w:rPr>
              <w:t>6</w:t>
            </w:r>
          </w:p>
        </w:tc>
      </w:tr>
      <w:tr w:rsidR="00965ABD" w:rsidRPr="009E01D0" w:rsidTr="00965ABD">
        <w:trPr>
          <w:trHeight w:val="387"/>
        </w:trPr>
        <w:tc>
          <w:tcPr>
            <w:tcW w:w="3284" w:type="dxa"/>
            <w:shd w:val="clear" w:color="auto" w:fill="auto"/>
            <w:vAlign w:val="center"/>
            <w:hideMark/>
          </w:tcPr>
          <w:p w:rsidR="00965ABD" w:rsidRPr="009E01D0" w:rsidRDefault="00965ABD" w:rsidP="00965ABD">
            <w:pPr>
              <w:rPr>
                <w:rFonts w:cs="Arial"/>
                <w:color w:val="000000"/>
                <w:lang w:eastAsia="en-GB"/>
              </w:rPr>
            </w:pPr>
            <w:r w:rsidRPr="009E01D0">
              <w:rPr>
                <w:rFonts w:cs="Arial"/>
                <w:color w:val="000000"/>
                <w:lang w:eastAsia="en-GB"/>
              </w:rPr>
              <w:t>Balance c/</w:t>
            </w:r>
            <w:proofErr w:type="spellStart"/>
            <w:r w:rsidRPr="009E01D0">
              <w:rPr>
                <w:rFonts w:cs="Arial"/>
                <w:color w:val="000000"/>
                <w:lang w:eastAsia="en-GB"/>
              </w:rPr>
              <w:t>fwd</w:t>
            </w:r>
            <w:proofErr w:type="spellEnd"/>
            <w:r w:rsidRPr="009E01D0">
              <w:rPr>
                <w:rFonts w:cs="Arial"/>
                <w:color w:val="000000"/>
                <w:lang w:eastAsia="en-GB"/>
              </w:rPr>
              <w:t xml:space="preserve"> </w:t>
            </w:r>
          </w:p>
        </w:tc>
        <w:tc>
          <w:tcPr>
            <w:tcW w:w="1418"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-4,962</w:t>
            </w:r>
          </w:p>
        </w:tc>
        <w:tc>
          <w:tcPr>
            <w:tcW w:w="1417" w:type="dxa"/>
            <w:shd w:val="clear" w:color="000000" w:fill="FFFFFF"/>
            <w:vAlign w:val="center"/>
            <w:hideMark/>
          </w:tcPr>
          <w:p w:rsidR="00965ABD" w:rsidRPr="009E01D0" w:rsidRDefault="00965ABD" w:rsidP="00965ABD">
            <w:pPr>
              <w:jc w:val="right"/>
              <w:rPr>
                <w:rFonts w:cs="Arial"/>
                <w:lang w:eastAsia="en-GB"/>
              </w:rPr>
            </w:pPr>
            <w:r w:rsidRPr="009E01D0">
              <w:rPr>
                <w:rFonts w:cs="Arial"/>
                <w:lang w:eastAsia="en-GB"/>
              </w:rPr>
              <w:t>-4,99</w:t>
            </w:r>
            <w:r>
              <w:rPr>
                <w:rFonts w:cs="Arial"/>
                <w:lang w:eastAsia="en-GB"/>
              </w:rPr>
              <w:t>6</w:t>
            </w:r>
          </w:p>
        </w:tc>
        <w:tc>
          <w:tcPr>
            <w:tcW w:w="1276" w:type="dxa"/>
            <w:shd w:val="clear" w:color="000000" w:fill="FFFFFF"/>
            <w:vAlign w:val="center"/>
          </w:tcPr>
          <w:p w:rsidR="00965ABD" w:rsidRPr="009E01D0" w:rsidRDefault="00965ABD" w:rsidP="00965ABD">
            <w:pPr>
              <w:jc w:val="right"/>
              <w:rPr>
                <w:rFonts w:cs="Arial"/>
                <w:lang w:eastAsia="en-GB"/>
              </w:rPr>
            </w:pPr>
            <w:r>
              <w:rPr>
                <w:rFonts w:cs="Arial"/>
                <w:lang w:eastAsia="en-GB"/>
              </w:rPr>
              <w:t>-5,180</w:t>
            </w:r>
          </w:p>
        </w:tc>
        <w:tc>
          <w:tcPr>
            <w:tcW w:w="1276" w:type="dxa"/>
            <w:shd w:val="clear" w:color="000000" w:fill="FFFFFF"/>
            <w:vAlign w:val="center"/>
          </w:tcPr>
          <w:p w:rsidR="00965ABD" w:rsidRPr="009E01D0" w:rsidRDefault="00965ABD" w:rsidP="00965ABD">
            <w:pPr>
              <w:jc w:val="right"/>
              <w:rPr>
                <w:rFonts w:cs="Arial"/>
                <w:lang w:eastAsia="en-GB"/>
              </w:rPr>
            </w:pPr>
            <w:r>
              <w:rPr>
                <w:rFonts w:cs="Arial"/>
                <w:lang w:eastAsia="en-GB"/>
              </w:rPr>
              <w:t>-184</w:t>
            </w:r>
          </w:p>
        </w:tc>
      </w:tr>
    </w:tbl>
    <w:p w:rsidR="00C81947" w:rsidRDefault="00C81947" w:rsidP="00C81947">
      <w:pPr>
        <w:jc w:val="both"/>
        <w:rPr>
          <w:rFonts w:cs="Arial"/>
          <w:b/>
          <w:szCs w:val="24"/>
          <w:highlight w:val="cyan"/>
        </w:rPr>
      </w:pPr>
    </w:p>
    <w:p w:rsidR="002C672F" w:rsidRDefault="002C672F" w:rsidP="00741AEB">
      <w:pPr>
        <w:keepNext/>
        <w:spacing w:after="60"/>
        <w:ind w:left="16"/>
        <w:outlineLvl w:val="0"/>
        <w:rPr>
          <w:rFonts w:cs="Arial"/>
          <w:b/>
          <w:bCs/>
          <w:kern w:val="32"/>
          <w:szCs w:val="24"/>
        </w:rPr>
      </w:pPr>
    </w:p>
    <w:p w:rsidR="00741AEB" w:rsidRDefault="00AF6F1B" w:rsidP="00741AEB">
      <w:pPr>
        <w:keepNext/>
        <w:spacing w:after="60"/>
        <w:ind w:left="16"/>
        <w:outlineLvl w:val="0"/>
        <w:rPr>
          <w:rFonts w:cs="Arial"/>
          <w:b/>
          <w:bCs/>
          <w:kern w:val="32"/>
          <w:szCs w:val="24"/>
        </w:rPr>
      </w:pPr>
      <w:r>
        <w:rPr>
          <w:rFonts w:cs="Arial"/>
          <w:b/>
          <w:bCs/>
          <w:kern w:val="32"/>
          <w:szCs w:val="24"/>
        </w:rPr>
        <w:t>PEOPLE</w:t>
      </w:r>
      <w:r w:rsidR="002C672F">
        <w:rPr>
          <w:rFonts w:cs="Arial"/>
          <w:b/>
          <w:bCs/>
          <w:kern w:val="32"/>
          <w:szCs w:val="24"/>
        </w:rPr>
        <w:t xml:space="preserve"> DIRECTORATE</w:t>
      </w:r>
    </w:p>
    <w:p w:rsidR="00AF6F1B" w:rsidRPr="006B1DE1" w:rsidRDefault="00AF6F1B" w:rsidP="00741AEB">
      <w:pPr>
        <w:keepNext/>
        <w:spacing w:after="60"/>
        <w:ind w:left="16"/>
        <w:outlineLvl w:val="0"/>
        <w:rPr>
          <w:rFonts w:cs="Arial"/>
          <w:b/>
          <w:bCs/>
          <w:kern w:val="32"/>
          <w:szCs w:val="24"/>
        </w:rPr>
      </w:pPr>
    </w:p>
    <w:p w:rsidR="00741AEB" w:rsidRPr="006B1DE1" w:rsidRDefault="00741AEB" w:rsidP="00D44E09">
      <w:pPr>
        <w:numPr>
          <w:ilvl w:val="0"/>
          <w:numId w:val="9"/>
        </w:numPr>
        <w:ind w:hanging="720"/>
        <w:rPr>
          <w:rFonts w:cs="Arial"/>
          <w:szCs w:val="24"/>
        </w:rPr>
      </w:pPr>
      <w:bookmarkStart w:id="2" w:name="_Toc372706216"/>
      <w:r w:rsidRPr="006B1DE1">
        <w:rPr>
          <w:rFonts w:cs="Arial"/>
          <w:szCs w:val="24"/>
        </w:rPr>
        <w:t xml:space="preserve">The </w:t>
      </w:r>
      <w:r w:rsidR="002C672F">
        <w:rPr>
          <w:rFonts w:cs="Arial"/>
          <w:szCs w:val="24"/>
        </w:rPr>
        <w:t>People</w:t>
      </w:r>
      <w:r w:rsidRPr="006B1DE1">
        <w:rPr>
          <w:rFonts w:cs="Arial"/>
          <w:szCs w:val="24"/>
        </w:rPr>
        <w:t xml:space="preserve"> Directorate </w:t>
      </w:r>
      <w:bookmarkEnd w:id="2"/>
      <w:r w:rsidRPr="006B1DE1">
        <w:rPr>
          <w:rFonts w:cs="Arial"/>
          <w:szCs w:val="24"/>
        </w:rPr>
        <w:t xml:space="preserve">is forecasting </w:t>
      </w:r>
      <w:proofErr w:type="gramStart"/>
      <w:r w:rsidRPr="006B1DE1">
        <w:rPr>
          <w:rFonts w:cs="Arial"/>
          <w:szCs w:val="24"/>
        </w:rPr>
        <w:t>an overspend</w:t>
      </w:r>
      <w:proofErr w:type="gramEnd"/>
      <w:r w:rsidRPr="006B1DE1">
        <w:rPr>
          <w:rFonts w:cs="Arial"/>
          <w:szCs w:val="24"/>
        </w:rPr>
        <w:t xml:space="preserve"> of £</w:t>
      </w:r>
      <w:r w:rsidR="000A4437">
        <w:rPr>
          <w:rFonts w:cs="Arial"/>
          <w:szCs w:val="24"/>
        </w:rPr>
        <w:t xml:space="preserve">94k </w:t>
      </w:r>
      <w:r w:rsidRPr="006B1DE1">
        <w:rPr>
          <w:rFonts w:cs="Arial"/>
          <w:szCs w:val="24"/>
        </w:rPr>
        <w:t xml:space="preserve">at Quarter </w:t>
      </w:r>
      <w:r w:rsidR="000A4437">
        <w:rPr>
          <w:rFonts w:cs="Arial"/>
          <w:szCs w:val="24"/>
        </w:rPr>
        <w:t>2</w:t>
      </w:r>
      <w:r w:rsidRPr="006B1DE1">
        <w:rPr>
          <w:rFonts w:cs="Arial"/>
          <w:szCs w:val="24"/>
        </w:rPr>
        <w:t xml:space="preserve"> as detailed below</w:t>
      </w:r>
      <w:r w:rsidR="000A4437">
        <w:rPr>
          <w:rFonts w:cs="Arial"/>
          <w:szCs w:val="24"/>
        </w:rPr>
        <w:t>. This is an improvement of £1.005m since Quarter 1</w:t>
      </w:r>
      <w:r w:rsidR="009C02BB">
        <w:rPr>
          <w:rFonts w:cs="Arial"/>
          <w:szCs w:val="24"/>
        </w:rPr>
        <w:t xml:space="preserve"> when the projected overspend was £1.099m</w:t>
      </w:r>
      <w:r w:rsidR="000A4437">
        <w:rPr>
          <w:rFonts w:cs="Arial"/>
          <w:szCs w:val="24"/>
        </w:rPr>
        <w:t>.</w:t>
      </w:r>
    </w:p>
    <w:p w:rsidR="00741AEB" w:rsidRPr="006B1DE1" w:rsidRDefault="00741AEB" w:rsidP="00741AEB">
      <w:pPr>
        <w:rPr>
          <w:rFonts w:cs="Arial"/>
          <w:szCs w:val="24"/>
        </w:rPr>
      </w:pPr>
    </w:p>
    <w:p w:rsidR="007A2234" w:rsidRPr="007A2234" w:rsidRDefault="007A2234" w:rsidP="007A2234">
      <w:pPr>
        <w:rPr>
          <w:rFonts w:cs="Arial"/>
          <w:b/>
          <w:szCs w:val="24"/>
        </w:rPr>
      </w:pPr>
      <w:bookmarkStart w:id="3" w:name="_Toc372706221"/>
      <w:r w:rsidRPr="007A2234">
        <w:rPr>
          <w:rFonts w:cs="Arial"/>
          <w:b/>
          <w:szCs w:val="24"/>
        </w:rPr>
        <w:t>ADULT SERVICES</w:t>
      </w:r>
    </w:p>
    <w:p w:rsidR="007A2234" w:rsidRPr="007A2234" w:rsidRDefault="007A2234" w:rsidP="007A2234">
      <w:pPr>
        <w:autoSpaceDE w:val="0"/>
        <w:autoSpaceDN w:val="0"/>
        <w:adjustRightInd w:val="0"/>
        <w:rPr>
          <w:szCs w:val="24"/>
        </w:rPr>
      </w:pPr>
    </w:p>
    <w:p w:rsidR="00D07576" w:rsidRPr="00776BAC" w:rsidRDefault="00D07576" w:rsidP="00D44E09">
      <w:pPr>
        <w:numPr>
          <w:ilvl w:val="0"/>
          <w:numId w:val="9"/>
        </w:numPr>
        <w:spacing w:after="240"/>
        <w:ind w:hanging="720"/>
        <w:rPr>
          <w:rFonts w:cs="Arial"/>
          <w:szCs w:val="24"/>
        </w:rPr>
      </w:pPr>
      <w:r w:rsidRPr="00776BAC">
        <w:rPr>
          <w:rFonts w:cs="Arial"/>
          <w:szCs w:val="24"/>
        </w:rPr>
        <w:t xml:space="preserve">Adults is forecasting </w:t>
      </w:r>
      <w:proofErr w:type="gramStart"/>
      <w:r w:rsidRPr="00776BAC">
        <w:rPr>
          <w:rFonts w:cs="Arial"/>
          <w:szCs w:val="24"/>
        </w:rPr>
        <w:t>an overspend</w:t>
      </w:r>
      <w:proofErr w:type="gramEnd"/>
      <w:r w:rsidRPr="00776BAC">
        <w:rPr>
          <w:rFonts w:cs="Arial"/>
          <w:szCs w:val="24"/>
        </w:rPr>
        <w:t xml:space="preserve"> of £</w:t>
      </w:r>
      <w:r>
        <w:rPr>
          <w:rFonts w:cs="Arial"/>
          <w:szCs w:val="24"/>
        </w:rPr>
        <w:t>0.649m</w:t>
      </w:r>
      <w:r w:rsidRPr="00776BAC">
        <w:rPr>
          <w:rFonts w:cs="Arial"/>
          <w:szCs w:val="24"/>
        </w:rPr>
        <w:t xml:space="preserve"> at Quarter 2, compared to £0.634m at Quarter 1. </w:t>
      </w:r>
      <w:r>
        <w:rPr>
          <w:rFonts w:cs="Arial"/>
          <w:szCs w:val="24"/>
        </w:rPr>
        <w:t>However, t</w:t>
      </w:r>
      <w:r w:rsidRPr="00776BAC">
        <w:rPr>
          <w:rFonts w:cs="Arial"/>
          <w:szCs w:val="24"/>
        </w:rPr>
        <w:t>o respond to the overall corporate pressures, a recovery plan has been developed, which i</w:t>
      </w:r>
      <w:r>
        <w:rPr>
          <w:rFonts w:cs="Arial"/>
          <w:szCs w:val="24"/>
        </w:rPr>
        <w:t>dentifies potential mitigating one-off actions of £0.595m.  I</w:t>
      </w:r>
      <w:r w:rsidRPr="00776BAC">
        <w:rPr>
          <w:rFonts w:cs="Arial"/>
          <w:szCs w:val="24"/>
        </w:rPr>
        <w:t xml:space="preserve">f </w:t>
      </w:r>
      <w:r>
        <w:rPr>
          <w:rFonts w:cs="Arial"/>
          <w:szCs w:val="24"/>
        </w:rPr>
        <w:t xml:space="preserve">these mitigations can be </w:t>
      </w:r>
      <w:r w:rsidRPr="00776BAC">
        <w:rPr>
          <w:rFonts w:cs="Arial"/>
          <w:szCs w:val="24"/>
        </w:rPr>
        <w:t>achieved</w:t>
      </w:r>
      <w:r>
        <w:rPr>
          <w:rFonts w:cs="Arial"/>
          <w:szCs w:val="24"/>
        </w:rPr>
        <w:t>,</w:t>
      </w:r>
      <w:r w:rsidRPr="00776BAC">
        <w:rPr>
          <w:rFonts w:cs="Arial"/>
          <w:szCs w:val="24"/>
        </w:rPr>
        <w:t xml:space="preserve"> and without any corresponding </w:t>
      </w:r>
      <w:r>
        <w:rPr>
          <w:rFonts w:cs="Arial"/>
          <w:szCs w:val="24"/>
        </w:rPr>
        <w:t>increased care costs which generally arise during the winter months, the year-</w:t>
      </w:r>
      <w:r w:rsidRPr="00776BAC">
        <w:rPr>
          <w:rFonts w:cs="Arial"/>
          <w:szCs w:val="24"/>
        </w:rPr>
        <w:t>end position</w:t>
      </w:r>
      <w:r>
        <w:rPr>
          <w:rFonts w:cs="Arial"/>
          <w:szCs w:val="24"/>
        </w:rPr>
        <w:t xml:space="preserve"> would reduce </w:t>
      </w:r>
      <w:proofErr w:type="gramStart"/>
      <w:r>
        <w:rPr>
          <w:rFonts w:cs="Arial"/>
          <w:szCs w:val="24"/>
        </w:rPr>
        <w:t xml:space="preserve">the </w:t>
      </w:r>
      <w:r w:rsidRPr="00776BAC">
        <w:rPr>
          <w:rFonts w:cs="Arial"/>
          <w:szCs w:val="24"/>
        </w:rPr>
        <w:t>overspend</w:t>
      </w:r>
      <w:proofErr w:type="gramEnd"/>
      <w:r w:rsidRPr="00776BAC">
        <w:rPr>
          <w:rFonts w:cs="Arial"/>
          <w:szCs w:val="24"/>
        </w:rPr>
        <w:t xml:space="preserve"> </w:t>
      </w:r>
      <w:r>
        <w:rPr>
          <w:rFonts w:cs="Arial"/>
          <w:szCs w:val="24"/>
        </w:rPr>
        <w:t>to</w:t>
      </w:r>
      <w:r w:rsidRPr="00776BAC">
        <w:rPr>
          <w:rFonts w:cs="Arial"/>
          <w:szCs w:val="24"/>
        </w:rPr>
        <w:t xml:space="preserve"> £54K</w:t>
      </w:r>
      <w:r>
        <w:rPr>
          <w:rFonts w:cs="Arial"/>
          <w:szCs w:val="24"/>
        </w:rPr>
        <w:t xml:space="preserve"> by March 2016</w:t>
      </w:r>
      <w:r w:rsidRPr="00776BAC">
        <w:rPr>
          <w:rFonts w:cs="Arial"/>
          <w:szCs w:val="24"/>
        </w:rPr>
        <w:t xml:space="preserve">. </w:t>
      </w:r>
    </w:p>
    <w:p w:rsidR="00D07576" w:rsidRDefault="00D07576" w:rsidP="00D44E09">
      <w:pPr>
        <w:numPr>
          <w:ilvl w:val="0"/>
          <w:numId w:val="9"/>
        </w:numPr>
        <w:spacing w:after="240"/>
        <w:ind w:hanging="720"/>
        <w:rPr>
          <w:rFonts w:cs="Arial"/>
          <w:szCs w:val="24"/>
        </w:rPr>
      </w:pPr>
      <w:r w:rsidRPr="007A2234">
        <w:rPr>
          <w:rFonts w:cs="Arial"/>
          <w:szCs w:val="24"/>
        </w:rPr>
        <w:t>The majority of Adults budgets are demand led and the Council has a statutory duty to meet vulnerable adults’ needs. It is therefore challenging to strike a balance between safeguarding adults against harm and abuse and simultaneously balancing the budgets.</w:t>
      </w:r>
    </w:p>
    <w:p w:rsidR="00D07576" w:rsidRPr="007A2234" w:rsidRDefault="00D07576" w:rsidP="00D44E09">
      <w:pPr>
        <w:numPr>
          <w:ilvl w:val="0"/>
          <w:numId w:val="9"/>
        </w:numPr>
        <w:spacing w:after="240"/>
        <w:ind w:hanging="720"/>
        <w:rPr>
          <w:rFonts w:cs="Arial"/>
          <w:szCs w:val="24"/>
        </w:rPr>
      </w:pPr>
      <w:r w:rsidRPr="007A2234">
        <w:rPr>
          <w:rFonts w:cs="Arial"/>
          <w:szCs w:val="24"/>
        </w:rPr>
        <w:t>Consistent with last year the Adults directorate has an underlying pressure.  This pressure is in the region of £1.660m, however it is currently assumed that this will be offset by available capacity in the Care Act implementation funding of £1.011m (latest information suggests that Councils will keep the funding associated with phase 2 of the Care Act, however the distribution methodology has yet to be confirmed</w:t>
      </w:r>
      <w:r>
        <w:rPr>
          <w:rFonts w:cs="Arial"/>
          <w:szCs w:val="24"/>
        </w:rPr>
        <w:t xml:space="preserve"> and at this stage it is not clear if this funding is ongoing).</w:t>
      </w:r>
    </w:p>
    <w:p w:rsidR="00D07576" w:rsidRPr="007A2234" w:rsidRDefault="00D07576" w:rsidP="00D44E09">
      <w:pPr>
        <w:numPr>
          <w:ilvl w:val="0"/>
          <w:numId w:val="9"/>
        </w:numPr>
        <w:spacing w:after="240"/>
        <w:ind w:hanging="720"/>
        <w:rPr>
          <w:rFonts w:cs="Arial"/>
          <w:szCs w:val="24"/>
        </w:rPr>
      </w:pPr>
      <w:r w:rsidRPr="007A2234">
        <w:rPr>
          <w:rFonts w:cs="Arial"/>
          <w:szCs w:val="24"/>
        </w:rPr>
        <w:t>There are a number of pressures across the directorate and the key variations are detailed below:</w:t>
      </w:r>
    </w:p>
    <w:p w:rsidR="00D07576" w:rsidRPr="007A2234" w:rsidRDefault="00D07576" w:rsidP="00D07576">
      <w:pPr>
        <w:numPr>
          <w:ilvl w:val="0"/>
          <w:numId w:val="12"/>
        </w:numPr>
        <w:spacing w:after="120"/>
        <w:rPr>
          <w:rFonts w:cs="Arial"/>
          <w:szCs w:val="24"/>
        </w:rPr>
      </w:pPr>
      <w:r w:rsidRPr="007A2234">
        <w:rPr>
          <w:rFonts w:cs="Arial"/>
          <w:szCs w:val="24"/>
        </w:rPr>
        <w:t>£179K overspend relates to social care placements– this represents £1.402m purchasing pressures (£829k of which represents the acceptance of 21 OR cases) and has been offset by Care Act Funding of £1.011m and underspends on the Quality Assurance team of £212k (largely reflecting unfilled vacant posts).</w:t>
      </w:r>
    </w:p>
    <w:p w:rsidR="00D07576" w:rsidRPr="007A2234" w:rsidRDefault="00D07576" w:rsidP="00D07576">
      <w:pPr>
        <w:numPr>
          <w:ilvl w:val="0"/>
          <w:numId w:val="12"/>
        </w:numPr>
        <w:spacing w:after="120"/>
        <w:rPr>
          <w:rFonts w:cs="Arial"/>
          <w:szCs w:val="24"/>
        </w:rPr>
      </w:pPr>
      <w:r w:rsidRPr="007A2234">
        <w:rPr>
          <w:rFonts w:cs="Arial"/>
          <w:szCs w:val="24"/>
        </w:rPr>
        <w:t>£116k overspend relating to the Deprivation of Liberty Safeguards (DoLS) resulting in statutory requirements to carry out DoLS assessments by specific timescales and increased threshold for assessments. The total forecast for DoLs is £372k however this is offset by the DoLs grant of  £104k  and transfer of £152k from the annual growth allocation (this in turn reduces the funding available for new packages of care and increases the overspend being reported on the purchasing budget).</w:t>
      </w:r>
    </w:p>
    <w:p w:rsidR="00D07576" w:rsidRPr="007A2234" w:rsidRDefault="00D07576" w:rsidP="00D07576">
      <w:pPr>
        <w:numPr>
          <w:ilvl w:val="0"/>
          <w:numId w:val="12"/>
        </w:numPr>
        <w:spacing w:after="120"/>
        <w:rPr>
          <w:rFonts w:cs="Arial"/>
          <w:szCs w:val="24"/>
        </w:rPr>
      </w:pPr>
      <w:r w:rsidRPr="007A2234">
        <w:rPr>
          <w:rFonts w:cs="Arial"/>
          <w:szCs w:val="24"/>
          <w:lang w:eastAsia="en-GB"/>
        </w:rPr>
        <w:t>£197k overspend in relation to Mental Health – this reflects the Council’s 50% risk share relating to  S75 agreement with Central North West London Hospitals Trust (CNWL) where an overspend of £394k is currently being forecast.</w:t>
      </w:r>
    </w:p>
    <w:p w:rsidR="00D07576" w:rsidRPr="007A2234" w:rsidRDefault="00D07576" w:rsidP="00D07576">
      <w:pPr>
        <w:numPr>
          <w:ilvl w:val="0"/>
          <w:numId w:val="12"/>
        </w:numPr>
        <w:rPr>
          <w:rFonts w:cs="Arial"/>
          <w:szCs w:val="24"/>
          <w:lang w:eastAsia="en-GB"/>
        </w:rPr>
      </w:pPr>
      <w:r w:rsidRPr="007A2234">
        <w:rPr>
          <w:rFonts w:cs="Arial"/>
          <w:iCs/>
          <w:szCs w:val="24"/>
          <w:lang w:eastAsia="en-GB"/>
        </w:rPr>
        <w:lastRenderedPageBreak/>
        <w:t>£232k overspends across Provider Services - this overspen</w:t>
      </w:r>
      <w:r>
        <w:rPr>
          <w:rFonts w:cs="Arial"/>
          <w:iCs/>
          <w:szCs w:val="24"/>
          <w:lang w:eastAsia="en-GB"/>
        </w:rPr>
        <w:t>d</w:t>
      </w:r>
      <w:r w:rsidRPr="007A2234">
        <w:rPr>
          <w:rFonts w:cs="Arial"/>
          <w:iCs/>
          <w:szCs w:val="24"/>
          <w:lang w:eastAsia="en-GB"/>
        </w:rPr>
        <w:t xml:space="preserve"> is relating to Meals on wheels services</w:t>
      </w:r>
      <w:r w:rsidR="00AA7F02">
        <w:rPr>
          <w:rFonts w:cs="Arial"/>
          <w:iCs/>
          <w:szCs w:val="24"/>
          <w:lang w:eastAsia="en-GB"/>
        </w:rPr>
        <w:t>,</w:t>
      </w:r>
      <w:r w:rsidRPr="007A2234">
        <w:rPr>
          <w:rFonts w:cs="Arial"/>
          <w:iCs/>
          <w:szCs w:val="24"/>
          <w:lang w:eastAsia="en-GB"/>
        </w:rPr>
        <w:t xml:space="preserve"> challenges to the provision of transpo</w:t>
      </w:r>
      <w:r>
        <w:rPr>
          <w:rFonts w:cs="Arial"/>
          <w:iCs/>
          <w:szCs w:val="24"/>
          <w:lang w:eastAsia="en-GB"/>
        </w:rPr>
        <w:t>rt within the available budget</w:t>
      </w:r>
      <w:r w:rsidR="00AA7F02">
        <w:rPr>
          <w:rFonts w:cs="Arial"/>
          <w:iCs/>
          <w:szCs w:val="24"/>
          <w:lang w:eastAsia="en-GB"/>
        </w:rPr>
        <w:t xml:space="preserve"> and in</w:t>
      </w:r>
      <w:r w:rsidR="004922C6">
        <w:rPr>
          <w:rFonts w:cs="Arial"/>
          <w:iCs/>
          <w:szCs w:val="24"/>
          <w:lang w:eastAsia="en-GB"/>
        </w:rPr>
        <w:t>-</w:t>
      </w:r>
      <w:r w:rsidR="00AA7F02">
        <w:rPr>
          <w:rFonts w:cs="Arial"/>
          <w:iCs/>
          <w:szCs w:val="24"/>
          <w:lang w:eastAsia="en-GB"/>
        </w:rPr>
        <w:t>house day and residential services</w:t>
      </w:r>
      <w:r>
        <w:rPr>
          <w:rFonts w:cs="Arial"/>
          <w:iCs/>
          <w:szCs w:val="24"/>
          <w:lang w:eastAsia="en-GB"/>
        </w:rPr>
        <w:t>.</w:t>
      </w:r>
    </w:p>
    <w:p w:rsidR="00D07576" w:rsidRPr="007A2234" w:rsidRDefault="00D07576" w:rsidP="00D07576">
      <w:pPr>
        <w:rPr>
          <w:rFonts w:cs="Arial"/>
          <w:szCs w:val="24"/>
        </w:rPr>
      </w:pPr>
    </w:p>
    <w:p w:rsidR="00D07576" w:rsidRDefault="00D07576" w:rsidP="00D44E09">
      <w:pPr>
        <w:numPr>
          <w:ilvl w:val="0"/>
          <w:numId w:val="9"/>
        </w:numPr>
        <w:ind w:hanging="720"/>
        <w:rPr>
          <w:rFonts w:cs="Arial"/>
          <w:szCs w:val="24"/>
        </w:rPr>
      </w:pPr>
      <w:r>
        <w:rPr>
          <w:rFonts w:cs="Arial"/>
          <w:szCs w:val="24"/>
        </w:rPr>
        <w:t>The one-off management actions identified  are detailed as follows:</w:t>
      </w:r>
    </w:p>
    <w:p w:rsidR="00D07576" w:rsidRPr="007A2234" w:rsidRDefault="00D07576" w:rsidP="00D07576">
      <w:pPr>
        <w:rPr>
          <w:rFonts w:cs="Arial"/>
          <w:szCs w:val="24"/>
        </w:rPr>
      </w:pPr>
    </w:p>
    <w:p w:rsidR="00D07576" w:rsidRPr="007A2234" w:rsidRDefault="00D07576" w:rsidP="00D07576">
      <w:pPr>
        <w:numPr>
          <w:ilvl w:val="0"/>
          <w:numId w:val="14"/>
        </w:numPr>
        <w:spacing w:after="120"/>
        <w:rPr>
          <w:rFonts w:cs="Arial"/>
          <w:szCs w:val="24"/>
        </w:rPr>
      </w:pPr>
      <w:r w:rsidRPr="007A2234">
        <w:rPr>
          <w:rFonts w:cs="Arial"/>
          <w:szCs w:val="24"/>
        </w:rPr>
        <w:t>Training  - limit training to mandatory provision only - £43k</w:t>
      </w:r>
    </w:p>
    <w:p w:rsidR="00D07576" w:rsidRPr="007A2234" w:rsidRDefault="00D07576" w:rsidP="00D07576">
      <w:pPr>
        <w:numPr>
          <w:ilvl w:val="0"/>
          <w:numId w:val="14"/>
        </w:numPr>
        <w:spacing w:after="120"/>
        <w:rPr>
          <w:rFonts w:cs="Arial"/>
          <w:szCs w:val="24"/>
        </w:rPr>
      </w:pPr>
      <w:r w:rsidRPr="007A2234">
        <w:rPr>
          <w:rFonts w:cs="Arial"/>
          <w:szCs w:val="24"/>
        </w:rPr>
        <w:t>Continue to review the agency spent within adults services - £61k</w:t>
      </w:r>
    </w:p>
    <w:p w:rsidR="00D07576" w:rsidRPr="007A2234" w:rsidRDefault="00D07576" w:rsidP="00D07576">
      <w:pPr>
        <w:numPr>
          <w:ilvl w:val="0"/>
          <w:numId w:val="14"/>
        </w:numPr>
        <w:spacing w:after="120"/>
        <w:rPr>
          <w:rFonts w:cs="Arial"/>
          <w:szCs w:val="24"/>
        </w:rPr>
      </w:pPr>
      <w:r w:rsidRPr="007A2234">
        <w:rPr>
          <w:rFonts w:cs="Arial"/>
          <w:szCs w:val="24"/>
        </w:rPr>
        <w:t>Purchasing - In year review and clawback of balances held by personal budget service users - £314k</w:t>
      </w:r>
    </w:p>
    <w:p w:rsidR="00D07576" w:rsidRPr="007A2234" w:rsidRDefault="00D07576" w:rsidP="00D07576">
      <w:pPr>
        <w:numPr>
          <w:ilvl w:val="0"/>
          <w:numId w:val="14"/>
        </w:numPr>
        <w:spacing w:after="120"/>
        <w:rPr>
          <w:rFonts w:cs="Arial"/>
          <w:szCs w:val="24"/>
        </w:rPr>
      </w:pPr>
      <w:r w:rsidRPr="007A2234">
        <w:rPr>
          <w:rFonts w:cs="Arial"/>
          <w:szCs w:val="24"/>
        </w:rPr>
        <w:t>Catering - Relocate service to Milmans - £39k</w:t>
      </w:r>
    </w:p>
    <w:p w:rsidR="00D07576" w:rsidRPr="007A2234" w:rsidRDefault="00D07576" w:rsidP="00D07576">
      <w:pPr>
        <w:numPr>
          <w:ilvl w:val="0"/>
          <w:numId w:val="14"/>
        </w:numPr>
        <w:spacing w:after="120"/>
        <w:rPr>
          <w:rFonts w:cs="Arial"/>
          <w:szCs w:val="24"/>
        </w:rPr>
      </w:pPr>
      <w:r w:rsidRPr="007A2234">
        <w:rPr>
          <w:rFonts w:cs="Arial"/>
          <w:szCs w:val="24"/>
        </w:rPr>
        <w:t>In House residential - reconfigured rotas for respite and review other staffing lines - £53k</w:t>
      </w:r>
    </w:p>
    <w:p w:rsidR="00D07576" w:rsidRPr="007A2234" w:rsidRDefault="00D07576" w:rsidP="00D07576">
      <w:pPr>
        <w:numPr>
          <w:ilvl w:val="0"/>
          <w:numId w:val="14"/>
        </w:numPr>
        <w:spacing w:after="240"/>
        <w:rPr>
          <w:rFonts w:cs="Arial"/>
          <w:szCs w:val="24"/>
        </w:rPr>
      </w:pPr>
      <w:r w:rsidRPr="007A2234">
        <w:rPr>
          <w:rFonts w:cs="Arial"/>
          <w:szCs w:val="24"/>
        </w:rPr>
        <w:t>Transport - Efficiencies from changes to existing routes - £84k</w:t>
      </w:r>
      <w:r>
        <w:rPr>
          <w:rFonts w:cs="Arial"/>
          <w:szCs w:val="24"/>
        </w:rPr>
        <w:t xml:space="preserve"> one-off saving. </w:t>
      </w:r>
    </w:p>
    <w:p w:rsidR="00D07576" w:rsidRPr="007A2234" w:rsidRDefault="00D07576" w:rsidP="00D44E09">
      <w:pPr>
        <w:numPr>
          <w:ilvl w:val="0"/>
          <w:numId w:val="9"/>
        </w:numPr>
        <w:spacing w:after="240"/>
        <w:ind w:hanging="720"/>
        <w:rPr>
          <w:rFonts w:cs="Arial"/>
          <w:szCs w:val="24"/>
        </w:rPr>
      </w:pPr>
      <w:r w:rsidRPr="007A2234">
        <w:rPr>
          <w:rFonts w:cs="Arial"/>
          <w:szCs w:val="24"/>
        </w:rPr>
        <w:t>In addition to this forecast pressure there are a number of risks which may influence the forecast outturn position, which are detailed below and will be referenced in future.</w:t>
      </w:r>
    </w:p>
    <w:p w:rsidR="00D07576" w:rsidRPr="002F10E2" w:rsidRDefault="00D07576" w:rsidP="00D07576">
      <w:pPr>
        <w:numPr>
          <w:ilvl w:val="0"/>
          <w:numId w:val="15"/>
        </w:numPr>
        <w:spacing w:after="120"/>
        <w:rPr>
          <w:rFonts w:cs="Arial"/>
          <w:szCs w:val="24"/>
        </w:rPr>
      </w:pPr>
      <w:r w:rsidRPr="002F10E2">
        <w:rPr>
          <w:rFonts w:cs="Arial"/>
          <w:szCs w:val="24"/>
        </w:rPr>
        <w:t>The situation at the hospitals is currently</w:t>
      </w:r>
      <w:r>
        <w:rPr>
          <w:rFonts w:cs="Arial"/>
          <w:szCs w:val="24"/>
        </w:rPr>
        <w:t xml:space="preserve"> critical with Delayed Transfers </w:t>
      </w:r>
      <w:r w:rsidRPr="002F10E2">
        <w:rPr>
          <w:rFonts w:cs="Arial"/>
          <w:szCs w:val="24"/>
        </w:rPr>
        <w:t>of Care (DToC) at Central Middlesex Hospital and Northwick Park Hospital.</w:t>
      </w:r>
      <w:r>
        <w:rPr>
          <w:rFonts w:cs="Arial"/>
          <w:szCs w:val="24"/>
        </w:rPr>
        <w:t xml:space="preserve">  </w:t>
      </w:r>
      <w:r w:rsidRPr="002F10E2">
        <w:rPr>
          <w:rFonts w:cs="Arial"/>
          <w:szCs w:val="24"/>
        </w:rPr>
        <w:t xml:space="preserve">There are extremely high expectations </w:t>
      </w:r>
      <w:r>
        <w:rPr>
          <w:rFonts w:cs="Arial"/>
          <w:szCs w:val="24"/>
        </w:rPr>
        <w:t>on</w:t>
      </w:r>
      <w:r w:rsidRPr="002F10E2">
        <w:rPr>
          <w:rFonts w:cs="Arial"/>
          <w:szCs w:val="24"/>
        </w:rPr>
        <w:t xml:space="preserve"> social care to fu</w:t>
      </w:r>
      <w:r>
        <w:rPr>
          <w:rFonts w:cs="Arial"/>
          <w:szCs w:val="24"/>
        </w:rPr>
        <w:t xml:space="preserve">lly assist in reducing these </w:t>
      </w:r>
      <w:proofErr w:type="spellStart"/>
      <w:r>
        <w:rPr>
          <w:rFonts w:cs="Arial"/>
          <w:szCs w:val="24"/>
        </w:rPr>
        <w:t>DTo</w:t>
      </w:r>
      <w:r w:rsidRPr="002F10E2">
        <w:rPr>
          <w:rFonts w:cs="Arial"/>
          <w:szCs w:val="24"/>
        </w:rPr>
        <w:t>Cs</w:t>
      </w:r>
      <w:proofErr w:type="spellEnd"/>
      <w:r w:rsidRPr="002F10E2">
        <w:rPr>
          <w:rFonts w:cs="Arial"/>
          <w:szCs w:val="24"/>
        </w:rPr>
        <w:t xml:space="preserve"> and managing hospitals bed capacity. There ha</w:t>
      </w:r>
      <w:r>
        <w:rPr>
          <w:rFonts w:cs="Arial"/>
          <w:szCs w:val="24"/>
        </w:rPr>
        <w:t>ve</w:t>
      </w:r>
      <w:r w:rsidRPr="002F10E2">
        <w:rPr>
          <w:rFonts w:cs="Arial"/>
          <w:szCs w:val="24"/>
        </w:rPr>
        <w:t xml:space="preserve"> been daily teleconference</w:t>
      </w:r>
      <w:r>
        <w:rPr>
          <w:rFonts w:cs="Arial"/>
          <w:szCs w:val="24"/>
        </w:rPr>
        <w:t>s</w:t>
      </w:r>
      <w:r w:rsidRPr="002F10E2">
        <w:rPr>
          <w:rFonts w:cs="Arial"/>
          <w:szCs w:val="24"/>
        </w:rPr>
        <w:t xml:space="preserve"> and NHS England is monitoring the situation. </w:t>
      </w:r>
      <w:r>
        <w:rPr>
          <w:rFonts w:cs="Arial"/>
          <w:szCs w:val="24"/>
        </w:rPr>
        <w:t xml:space="preserve"> The Clinical Commissioning Group (CCG) </w:t>
      </w:r>
      <w:r w:rsidRPr="002F10E2">
        <w:rPr>
          <w:rFonts w:cs="Arial"/>
          <w:szCs w:val="24"/>
        </w:rPr>
        <w:t>continues to review the allocation for these interim beds</w:t>
      </w:r>
      <w:r>
        <w:rPr>
          <w:rFonts w:cs="Arial"/>
          <w:szCs w:val="24"/>
        </w:rPr>
        <w:t xml:space="preserve"> and if these are </w:t>
      </w:r>
      <w:r w:rsidRPr="002F10E2">
        <w:rPr>
          <w:rFonts w:cs="Arial"/>
          <w:szCs w:val="24"/>
        </w:rPr>
        <w:t>reduce</w:t>
      </w:r>
      <w:r>
        <w:rPr>
          <w:rFonts w:cs="Arial"/>
          <w:szCs w:val="24"/>
        </w:rPr>
        <w:t>d</w:t>
      </w:r>
      <w:r w:rsidRPr="002F10E2">
        <w:rPr>
          <w:rFonts w:cs="Arial"/>
          <w:szCs w:val="24"/>
        </w:rPr>
        <w:t xml:space="preserve"> or </w:t>
      </w:r>
      <w:r>
        <w:rPr>
          <w:rFonts w:cs="Arial"/>
          <w:szCs w:val="24"/>
        </w:rPr>
        <w:t xml:space="preserve">the funding </w:t>
      </w:r>
      <w:r w:rsidRPr="002F10E2">
        <w:rPr>
          <w:rFonts w:cs="Arial"/>
          <w:szCs w:val="24"/>
        </w:rPr>
        <w:t>withdraw</w:t>
      </w:r>
      <w:r>
        <w:rPr>
          <w:rFonts w:cs="Arial"/>
          <w:szCs w:val="24"/>
        </w:rPr>
        <w:t>n</w:t>
      </w:r>
      <w:r w:rsidRPr="002F10E2">
        <w:rPr>
          <w:rFonts w:cs="Arial"/>
          <w:szCs w:val="24"/>
        </w:rPr>
        <w:t xml:space="preserve"> </w:t>
      </w:r>
      <w:r>
        <w:rPr>
          <w:rFonts w:cs="Arial"/>
          <w:szCs w:val="24"/>
        </w:rPr>
        <w:t xml:space="preserve">on </w:t>
      </w:r>
      <w:r w:rsidRPr="002F10E2">
        <w:rPr>
          <w:rFonts w:cs="Arial"/>
          <w:szCs w:val="24"/>
        </w:rPr>
        <w:t>intermediate care beds, this will put a further pressure on the Adults purchasing budget.</w:t>
      </w:r>
      <w:r>
        <w:rPr>
          <w:rFonts w:cs="Arial"/>
          <w:szCs w:val="24"/>
        </w:rPr>
        <w:t xml:space="preserve">  </w:t>
      </w:r>
      <w:proofErr w:type="gramStart"/>
      <w:r w:rsidRPr="002F10E2">
        <w:rPr>
          <w:rFonts w:cs="Arial"/>
          <w:szCs w:val="24"/>
        </w:rPr>
        <w:t>Adults</w:t>
      </w:r>
      <w:proofErr w:type="gramEnd"/>
      <w:r w:rsidRPr="002F10E2">
        <w:rPr>
          <w:rFonts w:cs="Arial"/>
          <w:szCs w:val="24"/>
        </w:rPr>
        <w:t xml:space="preserve"> services have been working closely with the health services as a whole system to ensure safe and timely discharges for our residents.  </w:t>
      </w:r>
    </w:p>
    <w:p w:rsidR="00D07576" w:rsidRPr="007A2234" w:rsidRDefault="00D07576" w:rsidP="00D07576">
      <w:pPr>
        <w:numPr>
          <w:ilvl w:val="0"/>
          <w:numId w:val="11"/>
        </w:numPr>
        <w:spacing w:after="120"/>
        <w:rPr>
          <w:rFonts w:cs="Arial"/>
          <w:szCs w:val="24"/>
        </w:rPr>
      </w:pPr>
      <w:r w:rsidRPr="007A2234">
        <w:rPr>
          <w:rFonts w:cs="Arial"/>
          <w:szCs w:val="24"/>
        </w:rPr>
        <w:t>Continued increase in the number of frail older people (over 80) who need complex and substantial care packages and placements.</w:t>
      </w:r>
    </w:p>
    <w:p w:rsidR="00D07576" w:rsidRPr="00E156D2" w:rsidRDefault="00D07576" w:rsidP="00D07576">
      <w:pPr>
        <w:numPr>
          <w:ilvl w:val="0"/>
          <w:numId w:val="13"/>
        </w:numPr>
        <w:spacing w:after="120"/>
        <w:rPr>
          <w:rFonts w:cs="Arial"/>
          <w:szCs w:val="24"/>
        </w:rPr>
      </w:pPr>
      <w:r w:rsidRPr="00515449">
        <w:t xml:space="preserve">The NHS </w:t>
      </w:r>
      <w:r>
        <w:t>Better Care Fund for 2015</w:t>
      </w:r>
      <w:r w:rsidRPr="00515449">
        <w:t>/1</w:t>
      </w:r>
      <w:r>
        <w:t>6 of £5.411m - the s75 agreement is signed and funding received for the period April to October.  Invoices are being raised on a monthly basis for the balance of the funding.</w:t>
      </w:r>
    </w:p>
    <w:p w:rsidR="00D07576" w:rsidRPr="007A2234" w:rsidRDefault="00D07576" w:rsidP="00D07576">
      <w:pPr>
        <w:numPr>
          <w:ilvl w:val="0"/>
          <w:numId w:val="13"/>
        </w:numPr>
        <w:spacing w:after="120"/>
        <w:rPr>
          <w:rFonts w:cs="Arial"/>
          <w:szCs w:val="24"/>
        </w:rPr>
      </w:pPr>
      <w:r w:rsidRPr="007A2234">
        <w:rPr>
          <w:rFonts w:cs="Arial"/>
          <w:szCs w:val="24"/>
        </w:rPr>
        <w:t xml:space="preserve">Care Act – potential for reduction in the allocation of the grant arising from a change to the distribution formula, and no certainty at this stage that this funding will be granted in future years. </w:t>
      </w:r>
    </w:p>
    <w:p w:rsidR="00D07576" w:rsidRPr="007A2234" w:rsidRDefault="00D07576" w:rsidP="00D07576">
      <w:pPr>
        <w:numPr>
          <w:ilvl w:val="0"/>
          <w:numId w:val="13"/>
        </w:numPr>
        <w:rPr>
          <w:rFonts w:cs="Arial"/>
          <w:szCs w:val="24"/>
        </w:rPr>
      </w:pPr>
      <w:r w:rsidRPr="007A2234">
        <w:rPr>
          <w:rFonts w:cs="Arial"/>
          <w:szCs w:val="24"/>
        </w:rPr>
        <w:t>Ordinary Residency (OR) - The council has accepted responsibility for 21 cases following assessment of need (and these costs are included in the forecast).  The remaining risk in the region of £1.5m (not included in the forecast) relates to a potential claim in relation to the backdating of cost to before the assessment date.</w:t>
      </w:r>
    </w:p>
    <w:p w:rsidR="007A2234" w:rsidRPr="007A2234" w:rsidRDefault="007A2234" w:rsidP="007A2234">
      <w:pPr>
        <w:jc w:val="both"/>
        <w:rPr>
          <w:rFonts w:cs="Arial"/>
          <w:b/>
          <w:szCs w:val="24"/>
        </w:rPr>
      </w:pPr>
    </w:p>
    <w:p w:rsidR="007A2234" w:rsidRPr="007A2234" w:rsidRDefault="007A2234" w:rsidP="007A2234">
      <w:pPr>
        <w:rPr>
          <w:rFonts w:cs="Arial"/>
          <w:b/>
          <w:szCs w:val="24"/>
        </w:rPr>
      </w:pPr>
      <w:r w:rsidRPr="007A2234">
        <w:rPr>
          <w:rFonts w:cs="Arial"/>
          <w:b/>
          <w:szCs w:val="24"/>
        </w:rPr>
        <w:t>A</w:t>
      </w:r>
      <w:r w:rsidR="00FA1127">
        <w:rPr>
          <w:rFonts w:cs="Arial"/>
          <w:b/>
          <w:szCs w:val="24"/>
        </w:rPr>
        <w:t>dults Transformation</w:t>
      </w:r>
    </w:p>
    <w:p w:rsidR="007A2234" w:rsidRDefault="007A2234" w:rsidP="00D44E09">
      <w:pPr>
        <w:numPr>
          <w:ilvl w:val="0"/>
          <w:numId w:val="9"/>
        </w:numPr>
        <w:spacing w:after="240"/>
        <w:ind w:hanging="720"/>
        <w:rPr>
          <w:rFonts w:cs="Arial"/>
          <w:szCs w:val="24"/>
        </w:rPr>
      </w:pPr>
      <w:r w:rsidRPr="007A2234">
        <w:rPr>
          <w:rFonts w:cs="Arial"/>
          <w:szCs w:val="24"/>
        </w:rPr>
        <w:t xml:space="preserve">Transformation is reporting a projected overspend of £40k against a total net budget of £184k. This is due to the delayed delivery of </w:t>
      </w:r>
      <w:r w:rsidRPr="007A2234">
        <w:rPr>
          <w:rFonts w:cs="Arial"/>
          <w:szCs w:val="24"/>
        </w:rPr>
        <w:lastRenderedPageBreak/>
        <w:t xml:space="preserve">anticipated savings across Business Support service. To achieve the proposed savings the post room function was transferred into Business Support on 1/4/15.The pressure of £40k assumes that the function has not ceased by year end. Whilst </w:t>
      </w:r>
      <w:proofErr w:type="gramStart"/>
      <w:r w:rsidR="00142D08">
        <w:rPr>
          <w:rFonts w:cs="Arial"/>
          <w:szCs w:val="24"/>
        </w:rPr>
        <w:t xml:space="preserve">an </w:t>
      </w:r>
      <w:r w:rsidRPr="007A2234">
        <w:rPr>
          <w:rFonts w:cs="Arial"/>
          <w:szCs w:val="24"/>
        </w:rPr>
        <w:t>overspend</w:t>
      </w:r>
      <w:proofErr w:type="gramEnd"/>
      <w:r w:rsidR="00142D08">
        <w:rPr>
          <w:rFonts w:cs="Arial"/>
          <w:szCs w:val="24"/>
        </w:rPr>
        <w:t xml:space="preserve"> is assumed</w:t>
      </w:r>
      <w:r w:rsidRPr="007A2234">
        <w:rPr>
          <w:rFonts w:cs="Arial"/>
          <w:szCs w:val="24"/>
        </w:rPr>
        <w:t>, officers are continuing to explore whether the function can be ceased to reduce the pressure and avoid this continuing into 2016/17.</w:t>
      </w:r>
    </w:p>
    <w:p w:rsidR="007A2234" w:rsidRPr="00530439" w:rsidRDefault="00530439" w:rsidP="007A2234">
      <w:pPr>
        <w:rPr>
          <w:rFonts w:cs="Arial"/>
          <w:b/>
          <w:szCs w:val="24"/>
        </w:rPr>
      </w:pPr>
      <w:r w:rsidRPr="00530439">
        <w:rPr>
          <w:rFonts w:cs="Arial"/>
          <w:b/>
          <w:szCs w:val="24"/>
        </w:rPr>
        <w:t>Children &amp; Families</w:t>
      </w:r>
    </w:p>
    <w:bookmarkEnd w:id="3"/>
    <w:p w:rsidR="00FA1127" w:rsidRDefault="00FA1127" w:rsidP="00D44E09">
      <w:pPr>
        <w:numPr>
          <w:ilvl w:val="0"/>
          <w:numId w:val="9"/>
        </w:numPr>
        <w:spacing w:after="240"/>
        <w:ind w:hanging="720"/>
        <w:rPr>
          <w:rFonts w:cs="Arial"/>
        </w:rPr>
      </w:pPr>
      <w:r>
        <w:rPr>
          <w:rFonts w:cs="Arial"/>
        </w:rPr>
        <w:t xml:space="preserve">As at Q2 the total forecast overspend for the </w:t>
      </w:r>
      <w:r w:rsidR="003F47B4">
        <w:rPr>
          <w:rFonts w:cs="Arial"/>
        </w:rPr>
        <w:t>Department</w:t>
      </w:r>
      <w:r>
        <w:rPr>
          <w:rFonts w:cs="Arial"/>
        </w:rPr>
        <w:t xml:space="preserve"> is £</w:t>
      </w:r>
      <w:r w:rsidR="003F47B4">
        <w:rPr>
          <w:rFonts w:cs="Arial"/>
        </w:rPr>
        <w:t>0.866m</w:t>
      </w:r>
      <w:r>
        <w:rPr>
          <w:rFonts w:cs="Arial"/>
        </w:rPr>
        <w:t xml:space="preserve">, which reduces to </w:t>
      </w:r>
      <w:r w:rsidR="003F47B4">
        <w:rPr>
          <w:rFonts w:cs="Arial"/>
        </w:rPr>
        <w:t>nil</w:t>
      </w:r>
      <w:r>
        <w:rPr>
          <w:rFonts w:cs="Arial"/>
        </w:rPr>
        <w:t xml:space="preserve"> after the use of a one off Children’s Social Care reserve of £0.866m.</w:t>
      </w:r>
      <w:r w:rsidR="00EA341D">
        <w:rPr>
          <w:rFonts w:cs="Arial"/>
        </w:rPr>
        <w:t xml:space="preserve"> This is an improvement of £425k since quarter 1.</w:t>
      </w:r>
    </w:p>
    <w:p w:rsidR="00FA1127" w:rsidRPr="007A2234" w:rsidRDefault="00FA1127" w:rsidP="00D44E09">
      <w:pPr>
        <w:numPr>
          <w:ilvl w:val="0"/>
          <w:numId w:val="9"/>
        </w:numPr>
        <w:spacing w:after="240"/>
        <w:ind w:hanging="720"/>
        <w:rPr>
          <w:rFonts w:cs="Arial"/>
          <w:szCs w:val="24"/>
          <w:lang w:eastAsia="ar-SA"/>
        </w:rPr>
      </w:pPr>
      <w:r w:rsidRPr="007A2234">
        <w:rPr>
          <w:rFonts w:cs="Arial"/>
          <w:szCs w:val="24"/>
          <w:lang w:eastAsia="ar-SA"/>
        </w:rPr>
        <w:t>The majority of Children’s budgets are demand led and the Council has a statutory duty to meet vulnerable children’s needs. It is therefore challenging to balance the budget.</w:t>
      </w:r>
    </w:p>
    <w:p w:rsidR="00FA1127" w:rsidRPr="007A2234" w:rsidRDefault="00FA1127" w:rsidP="00D44E09">
      <w:pPr>
        <w:numPr>
          <w:ilvl w:val="0"/>
          <w:numId w:val="9"/>
        </w:numPr>
        <w:spacing w:after="240"/>
        <w:ind w:hanging="720"/>
        <w:rPr>
          <w:rFonts w:cs="Arial"/>
          <w:szCs w:val="24"/>
          <w:lang w:eastAsia="ar-SA"/>
        </w:rPr>
      </w:pPr>
      <w:r w:rsidRPr="007A2234">
        <w:rPr>
          <w:rFonts w:cs="Arial"/>
          <w:szCs w:val="24"/>
          <w:lang w:eastAsia="ar-SA"/>
        </w:rPr>
        <w:t>There are several areas of pressure:</w:t>
      </w:r>
    </w:p>
    <w:p w:rsidR="00FA1127" w:rsidRPr="007A2234" w:rsidRDefault="00FA1127" w:rsidP="00FA1127">
      <w:pPr>
        <w:numPr>
          <w:ilvl w:val="0"/>
          <w:numId w:val="16"/>
        </w:numPr>
        <w:suppressAutoHyphens/>
        <w:rPr>
          <w:rFonts w:cs="Arial"/>
          <w:szCs w:val="24"/>
          <w:lang w:eastAsia="ar-SA"/>
        </w:rPr>
      </w:pPr>
      <w:r w:rsidRPr="007A2234">
        <w:rPr>
          <w:rFonts w:cs="Arial"/>
          <w:szCs w:val="24"/>
          <w:lang w:eastAsia="ar-SA"/>
        </w:rPr>
        <w:t xml:space="preserve">Special Needs Transport £0.752m pressures. Special Needs Transport underwent a significant review in 2014/15 with a view to achieving a further £0.570m savings target. It was only possible to meet approximately half of this savings target due in main to contract prices being higher than anticipated. This contributes to part of </w:t>
      </w:r>
      <w:proofErr w:type="gramStart"/>
      <w:r w:rsidRPr="007A2234">
        <w:rPr>
          <w:rFonts w:cs="Arial"/>
          <w:szCs w:val="24"/>
          <w:lang w:eastAsia="ar-SA"/>
        </w:rPr>
        <w:t>the overspend</w:t>
      </w:r>
      <w:proofErr w:type="gramEnd"/>
      <w:r w:rsidRPr="007A2234">
        <w:rPr>
          <w:rFonts w:cs="Arial"/>
          <w:szCs w:val="24"/>
          <w:lang w:eastAsia="ar-SA"/>
        </w:rPr>
        <w:t>. The remainder is due to demand, particularly for transport from home to colleges as the SEND reforms that extends special educational provision to age 25 years has led to an increased number of young adults with complex needs continuing in education.</w:t>
      </w:r>
    </w:p>
    <w:p w:rsidR="00FA1127" w:rsidRPr="007A2234" w:rsidRDefault="00FA1127" w:rsidP="00FA1127">
      <w:pPr>
        <w:suppressAutoHyphens/>
        <w:ind w:left="720"/>
        <w:rPr>
          <w:rFonts w:cs="Arial"/>
          <w:szCs w:val="24"/>
          <w:lang w:eastAsia="ar-SA"/>
        </w:rPr>
      </w:pPr>
    </w:p>
    <w:p w:rsidR="00FA1127" w:rsidRPr="007A2234" w:rsidRDefault="00FA1127" w:rsidP="00FA1127">
      <w:pPr>
        <w:numPr>
          <w:ilvl w:val="0"/>
          <w:numId w:val="16"/>
        </w:numPr>
        <w:suppressAutoHyphens/>
        <w:rPr>
          <w:rFonts w:cs="Arial"/>
          <w:szCs w:val="24"/>
          <w:lang w:eastAsia="ar-SA"/>
        </w:rPr>
      </w:pPr>
      <w:r w:rsidRPr="007A2234">
        <w:rPr>
          <w:rFonts w:cs="Arial"/>
          <w:szCs w:val="24"/>
          <w:lang w:eastAsia="ar-SA"/>
        </w:rPr>
        <w:t>Children with Disabilities Service staffing £57k pressures to manage caseloads and client costs £283k due to demand and a single young person with high and extraordinary needs. There are currently 180 children being supported through Direct Payments, 146 families being supported through Section 17 and 38 children receiving home care packages.</w:t>
      </w:r>
    </w:p>
    <w:p w:rsidR="00FA1127" w:rsidRPr="007A2234" w:rsidRDefault="00FA1127" w:rsidP="00FA1127">
      <w:pPr>
        <w:ind w:left="720"/>
        <w:rPr>
          <w:rFonts w:eastAsia="Calibri" w:cs="Arial"/>
          <w:szCs w:val="24"/>
        </w:rPr>
      </w:pPr>
    </w:p>
    <w:p w:rsidR="00FA1127" w:rsidRPr="007A2234" w:rsidRDefault="00FA1127" w:rsidP="00FA1127">
      <w:pPr>
        <w:numPr>
          <w:ilvl w:val="0"/>
          <w:numId w:val="16"/>
        </w:numPr>
        <w:suppressAutoHyphens/>
        <w:rPr>
          <w:rFonts w:cs="Arial"/>
          <w:szCs w:val="24"/>
          <w:lang w:eastAsia="ar-SA"/>
        </w:rPr>
      </w:pPr>
      <w:r w:rsidRPr="007A2234">
        <w:rPr>
          <w:rFonts w:cs="Arial"/>
          <w:szCs w:val="24"/>
          <w:lang w:eastAsia="ar-SA"/>
        </w:rPr>
        <w:t>Children and Young People’s Service staffing £443k pressure as a result of agency and interims covering vacancies and sickness and additional staff to manage caseloads.</w:t>
      </w:r>
    </w:p>
    <w:p w:rsidR="00FA1127" w:rsidRPr="007A2234" w:rsidRDefault="00FA1127" w:rsidP="00FA1127">
      <w:pPr>
        <w:ind w:left="720"/>
        <w:rPr>
          <w:rFonts w:eastAsia="Calibri" w:cs="Arial"/>
          <w:szCs w:val="24"/>
        </w:rPr>
      </w:pPr>
    </w:p>
    <w:p w:rsidR="00FA1127" w:rsidRPr="007A2234" w:rsidRDefault="00FA1127" w:rsidP="00FA1127">
      <w:pPr>
        <w:numPr>
          <w:ilvl w:val="0"/>
          <w:numId w:val="16"/>
        </w:numPr>
        <w:suppressAutoHyphens/>
        <w:rPr>
          <w:rFonts w:cs="Arial"/>
          <w:szCs w:val="24"/>
          <w:lang w:eastAsia="ar-SA"/>
        </w:rPr>
      </w:pPr>
      <w:r w:rsidRPr="007A2234">
        <w:rPr>
          <w:rFonts w:cs="Arial"/>
          <w:szCs w:val="24"/>
          <w:lang w:eastAsia="ar-SA"/>
        </w:rPr>
        <w:t>There is a pressure on the Children’s and Families budget of £0.556m due to families being supported by the Council because they have no recourse to public funds (NRPF).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A bespoke worker has been recruited to focus specifically on these families to help reduce costs, and mitigate the financial pressures on this budget.</w:t>
      </w:r>
    </w:p>
    <w:p w:rsidR="00FA1127" w:rsidRPr="007A2234" w:rsidRDefault="00FA1127" w:rsidP="00FA1127">
      <w:pPr>
        <w:ind w:left="720"/>
        <w:rPr>
          <w:rFonts w:eastAsia="Calibri" w:cs="Arial"/>
          <w:szCs w:val="24"/>
        </w:rPr>
      </w:pPr>
    </w:p>
    <w:p w:rsidR="00FA1127" w:rsidRPr="007A2234" w:rsidRDefault="00FA1127" w:rsidP="00D44E09">
      <w:pPr>
        <w:numPr>
          <w:ilvl w:val="0"/>
          <w:numId w:val="9"/>
        </w:numPr>
        <w:spacing w:after="240"/>
        <w:ind w:hanging="720"/>
        <w:rPr>
          <w:rFonts w:cs="Arial"/>
          <w:szCs w:val="24"/>
          <w:lang w:eastAsia="ar-SA"/>
        </w:rPr>
      </w:pPr>
      <w:r w:rsidRPr="007A2234">
        <w:rPr>
          <w:rFonts w:cs="Arial"/>
          <w:szCs w:val="24"/>
          <w:lang w:eastAsia="ar-SA"/>
        </w:rPr>
        <w:t>These pressures are partially mitigated by:</w:t>
      </w:r>
    </w:p>
    <w:p w:rsidR="00FA1127" w:rsidRPr="007A2234" w:rsidRDefault="00FA1127" w:rsidP="00FA1127">
      <w:pPr>
        <w:numPr>
          <w:ilvl w:val="0"/>
          <w:numId w:val="17"/>
        </w:numPr>
        <w:suppressAutoHyphens/>
        <w:rPr>
          <w:rFonts w:cs="Arial"/>
          <w:szCs w:val="24"/>
          <w:lang w:eastAsia="ar-SA"/>
        </w:rPr>
      </w:pPr>
      <w:r w:rsidRPr="007A2234">
        <w:rPr>
          <w:rFonts w:cs="Arial"/>
          <w:szCs w:val="24"/>
          <w:lang w:eastAsia="ar-SA"/>
        </w:rPr>
        <w:t>Use of one off children’s social care reserve of £0.866m.</w:t>
      </w:r>
    </w:p>
    <w:p w:rsidR="00FA1127" w:rsidRPr="007A2234" w:rsidRDefault="00FA1127" w:rsidP="00FA1127">
      <w:pPr>
        <w:suppressAutoHyphens/>
        <w:ind w:left="780"/>
        <w:rPr>
          <w:rFonts w:cs="Arial"/>
          <w:szCs w:val="24"/>
          <w:lang w:eastAsia="ar-SA"/>
        </w:rPr>
      </w:pPr>
    </w:p>
    <w:p w:rsidR="00FA1127" w:rsidRPr="007A2234" w:rsidRDefault="00FA1127" w:rsidP="00FA1127">
      <w:pPr>
        <w:numPr>
          <w:ilvl w:val="0"/>
          <w:numId w:val="17"/>
        </w:numPr>
        <w:suppressAutoHyphens/>
        <w:rPr>
          <w:rFonts w:cs="Arial"/>
          <w:szCs w:val="24"/>
          <w:lang w:eastAsia="ar-SA"/>
        </w:rPr>
      </w:pPr>
      <w:r w:rsidRPr="007A2234">
        <w:rPr>
          <w:rFonts w:cs="Arial"/>
          <w:szCs w:val="24"/>
          <w:lang w:eastAsia="ar-SA"/>
        </w:rPr>
        <w:lastRenderedPageBreak/>
        <w:t>Non-frontline staff vacancies and a number of centrally held management actions of £0.954m.</w:t>
      </w:r>
    </w:p>
    <w:p w:rsidR="00FA1127" w:rsidRPr="007A2234" w:rsidRDefault="00FA1127" w:rsidP="00FA1127">
      <w:pPr>
        <w:ind w:left="720"/>
        <w:rPr>
          <w:rFonts w:eastAsia="Calibri" w:cs="Arial"/>
          <w:szCs w:val="24"/>
        </w:rPr>
      </w:pPr>
    </w:p>
    <w:p w:rsidR="00FA1127" w:rsidRPr="007A2234" w:rsidRDefault="00FA1127" w:rsidP="00D44E09">
      <w:pPr>
        <w:numPr>
          <w:ilvl w:val="0"/>
          <w:numId w:val="9"/>
        </w:numPr>
        <w:spacing w:after="240"/>
        <w:ind w:hanging="720"/>
        <w:rPr>
          <w:rFonts w:eastAsia="Calibri" w:cs="Arial"/>
          <w:szCs w:val="24"/>
        </w:rPr>
      </w:pPr>
      <w:r w:rsidRPr="00FA1127">
        <w:rPr>
          <w:rFonts w:cs="Arial"/>
          <w:szCs w:val="24"/>
          <w:lang w:eastAsia="ar-SA"/>
        </w:rPr>
        <w:t>The Quarter 2 position after the use of the Children’s social care reserve is an</w:t>
      </w:r>
      <w:r>
        <w:rPr>
          <w:rFonts w:eastAsia="Calibri" w:cs="Arial"/>
          <w:szCs w:val="24"/>
        </w:rPr>
        <w:t xml:space="preserve"> improvement of £425k compared to Quarter 1. However there are a number of</w:t>
      </w:r>
      <w:r w:rsidRPr="007A2234">
        <w:rPr>
          <w:rFonts w:eastAsia="Calibri" w:cs="Arial"/>
          <w:szCs w:val="24"/>
        </w:rPr>
        <w:t xml:space="preserve"> demand led</w:t>
      </w:r>
      <w:r>
        <w:rPr>
          <w:rFonts w:eastAsia="Calibri" w:cs="Arial"/>
          <w:szCs w:val="24"/>
        </w:rPr>
        <w:t xml:space="preserve"> increases since Q</w:t>
      </w:r>
      <w:r w:rsidR="00D07576">
        <w:rPr>
          <w:rFonts w:eastAsia="Calibri" w:cs="Arial"/>
          <w:szCs w:val="24"/>
        </w:rPr>
        <w:t xml:space="preserve">uarter </w:t>
      </w:r>
      <w:r>
        <w:rPr>
          <w:rFonts w:eastAsia="Calibri" w:cs="Arial"/>
          <w:szCs w:val="24"/>
        </w:rPr>
        <w:t>1</w:t>
      </w:r>
      <w:r w:rsidRPr="007A2234">
        <w:rPr>
          <w:rFonts w:eastAsia="Calibri" w:cs="Arial"/>
          <w:szCs w:val="24"/>
        </w:rPr>
        <w:t>:-</w:t>
      </w:r>
    </w:p>
    <w:p w:rsidR="00FA1127" w:rsidRPr="007A2234" w:rsidRDefault="00FA1127" w:rsidP="00FA1127">
      <w:pPr>
        <w:numPr>
          <w:ilvl w:val="0"/>
          <w:numId w:val="18"/>
        </w:numPr>
        <w:spacing w:after="200" w:line="276" w:lineRule="auto"/>
        <w:rPr>
          <w:rFonts w:eastAsia="Calibri" w:cs="Arial"/>
          <w:szCs w:val="24"/>
        </w:rPr>
      </w:pPr>
      <w:r w:rsidRPr="007A2234">
        <w:rPr>
          <w:rFonts w:eastAsia="Calibri" w:cs="Arial"/>
          <w:szCs w:val="24"/>
        </w:rPr>
        <w:t>Special Needs Transport £</w:t>
      </w:r>
      <w:r>
        <w:rPr>
          <w:rFonts w:eastAsia="Calibri" w:cs="Arial"/>
          <w:szCs w:val="24"/>
        </w:rPr>
        <w:t>2</w:t>
      </w:r>
      <w:r w:rsidRPr="007A2234">
        <w:rPr>
          <w:rFonts w:eastAsia="Calibri" w:cs="Arial"/>
          <w:szCs w:val="24"/>
        </w:rPr>
        <w:t>28k.</w:t>
      </w:r>
    </w:p>
    <w:p w:rsidR="00FA1127" w:rsidRPr="007A2234" w:rsidRDefault="00FA1127" w:rsidP="00FA1127">
      <w:pPr>
        <w:numPr>
          <w:ilvl w:val="0"/>
          <w:numId w:val="18"/>
        </w:numPr>
        <w:spacing w:after="200" w:line="276" w:lineRule="auto"/>
        <w:rPr>
          <w:rFonts w:eastAsia="Calibri" w:cs="Arial"/>
          <w:szCs w:val="24"/>
        </w:rPr>
      </w:pPr>
      <w:r w:rsidRPr="007A2234">
        <w:rPr>
          <w:rFonts w:eastAsia="Calibri" w:cs="Arial"/>
          <w:szCs w:val="24"/>
        </w:rPr>
        <w:t>Children with Disabilities Placements £91k.</w:t>
      </w:r>
    </w:p>
    <w:p w:rsidR="00FA1127" w:rsidRDefault="00FA1127" w:rsidP="00FA1127">
      <w:pPr>
        <w:numPr>
          <w:ilvl w:val="0"/>
          <w:numId w:val="18"/>
        </w:numPr>
        <w:spacing w:after="200" w:line="276" w:lineRule="auto"/>
        <w:rPr>
          <w:rFonts w:eastAsia="Calibri" w:cs="Arial"/>
          <w:szCs w:val="24"/>
        </w:rPr>
      </w:pPr>
      <w:r w:rsidRPr="007A2234">
        <w:rPr>
          <w:rFonts w:eastAsia="Calibri" w:cs="Arial"/>
          <w:szCs w:val="24"/>
        </w:rPr>
        <w:t>Children’s Placements £96k.</w:t>
      </w:r>
    </w:p>
    <w:p w:rsidR="00FA1127" w:rsidRDefault="00FA1127" w:rsidP="00FA1127">
      <w:pPr>
        <w:numPr>
          <w:ilvl w:val="0"/>
          <w:numId w:val="18"/>
        </w:numPr>
        <w:spacing w:after="200" w:line="276" w:lineRule="auto"/>
        <w:rPr>
          <w:rFonts w:eastAsia="Calibri" w:cs="Arial"/>
          <w:szCs w:val="24"/>
        </w:rPr>
      </w:pPr>
      <w:r>
        <w:rPr>
          <w:rFonts w:eastAsia="Calibri" w:cs="Arial"/>
          <w:szCs w:val="24"/>
        </w:rPr>
        <w:t>Flexible use of grants £74k</w:t>
      </w:r>
    </w:p>
    <w:p w:rsidR="00FA1127" w:rsidRPr="007A2234" w:rsidRDefault="00FA1127" w:rsidP="00FA1127">
      <w:pPr>
        <w:numPr>
          <w:ilvl w:val="0"/>
          <w:numId w:val="18"/>
        </w:numPr>
        <w:spacing w:after="200" w:line="276" w:lineRule="auto"/>
        <w:rPr>
          <w:rFonts w:eastAsia="Calibri" w:cs="Arial"/>
          <w:szCs w:val="24"/>
        </w:rPr>
      </w:pPr>
      <w:r>
        <w:rPr>
          <w:rFonts w:eastAsia="Calibri" w:cs="Arial"/>
          <w:szCs w:val="24"/>
        </w:rPr>
        <w:t>Legal costs £100k</w:t>
      </w:r>
    </w:p>
    <w:p w:rsidR="00FA1127" w:rsidRPr="007A2234" w:rsidRDefault="00FA1127" w:rsidP="00D44E09">
      <w:pPr>
        <w:numPr>
          <w:ilvl w:val="0"/>
          <w:numId w:val="9"/>
        </w:numPr>
        <w:spacing w:after="240"/>
        <w:ind w:hanging="720"/>
        <w:rPr>
          <w:rFonts w:eastAsia="Calibri" w:cs="Arial"/>
          <w:szCs w:val="24"/>
        </w:rPr>
      </w:pPr>
      <w:r w:rsidRPr="007A2234">
        <w:rPr>
          <w:rFonts w:eastAsia="Calibri" w:cs="Arial"/>
          <w:szCs w:val="24"/>
        </w:rPr>
        <w:t>These increases have been offset by additional management actions totalling £</w:t>
      </w:r>
      <w:r>
        <w:rPr>
          <w:rFonts w:eastAsia="Calibri" w:cs="Arial"/>
          <w:szCs w:val="24"/>
        </w:rPr>
        <w:t>638</w:t>
      </w:r>
      <w:r w:rsidRPr="007A2234">
        <w:rPr>
          <w:rFonts w:eastAsia="Calibri" w:cs="Arial"/>
          <w:szCs w:val="24"/>
        </w:rPr>
        <w:t>k including flexible usage of government grants</w:t>
      </w:r>
      <w:r>
        <w:rPr>
          <w:rFonts w:eastAsia="Calibri" w:cs="Arial"/>
          <w:szCs w:val="24"/>
        </w:rPr>
        <w:t xml:space="preserve"> available as a one off only</w:t>
      </w:r>
      <w:r w:rsidRPr="007A2234">
        <w:rPr>
          <w:rFonts w:eastAsia="Calibri" w:cs="Arial"/>
          <w:szCs w:val="24"/>
        </w:rPr>
        <w:t>.</w:t>
      </w:r>
    </w:p>
    <w:p w:rsidR="00FA1127" w:rsidRDefault="00FA1127" w:rsidP="00D44E09">
      <w:pPr>
        <w:numPr>
          <w:ilvl w:val="0"/>
          <w:numId w:val="9"/>
        </w:numPr>
        <w:spacing w:after="240"/>
        <w:ind w:hanging="720"/>
        <w:rPr>
          <w:rFonts w:cs="Arial"/>
          <w:szCs w:val="24"/>
          <w:lang w:eastAsia="ar-SA"/>
        </w:rPr>
      </w:pPr>
      <w:r w:rsidRPr="007A2234">
        <w:rPr>
          <w:rFonts w:cs="Arial"/>
          <w:szCs w:val="24"/>
          <w:lang w:eastAsia="ar-SA"/>
        </w:rPr>
        <w:t xml:space="preserve">It is anticipated that the following </w:t>
      </w:r>
      <w:r w:rsidR="00D07576">
        <w:rPr>
          <w:rFonts w:cs="Arial"/>
          <w:szCs w:val="24"/>
          <w:lang w:eastAsia="ar-SA"/>
        </w:rPr>
        <w:t xml:space="preserve">further </w:t>
      </w:r>
      <w:r w:rsidRPr="007A2234">
        <w:rPr>
          <w:rFonts w:cs="Arial"/>
          <w:szCs w:val="24"/>
          <w:lang w:eastAsia="ar-SA"/>
        </w:rPr>
        <w:t xml:space="preserve">management actions will reduce </w:t>
      </w:r>
      <w:proofErr w:type="gramStart"/>
      <w:r w:rsidRPr="007A2234">
        <w:rPr>
          <w:rFonts w:cs="Arial"/>
          <w:szCs w:val="24"/>
          <w:lang w:eastAsia="ar-SA"/>
        </w:rPr>
        <w:t>the overspend</w:t>
      </w:r>
      <w:proofErr w:type="gramEnd"/>
      <w:r w:rsidRPr="007A2234">
        <w:rPr>
          <w:rFonts w:cs="Arial"/>
          <w:szCs w:val="24"/>
          <w:lang w:eastAsia="ar-SA"/>
        </w:rPr>
        <w:t xml:space="preserve"> to achieve a balanced budget.</w:t>
      </w:r>
    </w:p>
    <w:p w:rsidR="00FA1127" w:rsidRDefault="00FA1127" w:rsidP="00FA1127">
      <w:pPr>
        <w:suppressAutoHyphens/>
        <w:rPr>
          <w:rFonts w:cs="Arial"/>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5440"/>
      </w:tblGrid>
      <w:tr w:rsidR="00FA1127" w:rsidRPr="002C586F" w:rsidTr="00FA1127">
        <w:tc>
          <w:tcPr>
            <w:tcW w:w="1668" w:type="dxa"/>
            <w:shd w:val="clear" w:color="auto" w:fill="auto"/>
          </w:tcPr>
          <w:p w:rsidR="00FA1127" w:rsidRPr="002C586F" w:rsidRDefault="00FA1127" w:rsidP="00FA1127">
            <w:pPr>
              <w:rPr>
                <w:rFonts w:cs="Arial"/>
                <w:b/>
              </w:rPr>
            </w:pPr>
            <w:r w:rsidRPr="002C586F">
              <w:rPr>
                <w:rFonts w:cs="Arial"/>
                <w:b/>
              </w:rPr>
              <w:t>Area</w:t>
            </w:r>
          </w:p>
        </w:tc>
        <w:tc>
          <w:tcPr>
            <w:tcW w:w="1417" w:type="dxa"/>
            <w:shd w:val="clear" w:color="auto" w:fill="auto"/>
          </w:tcPr>
          <w:p w:rsidR="00FA1127" w:rsidRPr="002C586F" w:rsidRDefault="00FA1127" w:rsidP="00FA1127">
            <w:pPr>
              <w:rPr>
                <w:rFonts w:cs="Arial"/>
                <w:b/>
              </w:rPr>
            </w:pPr>
            <w:r w:rsidRPr="002C586F">
              <w:rPr>
                <w:rFonts w:cs="Arial"/>
                <w:b/>
              </w:rPr>
              <w:t>Movement £000</w:t>
            </w:r>
          </w:p>
        </w:tc>
        <w:tc>
          <w:tcPr>
            <w:tcW w:w="5440" w:type="dxa"/>
            <w:shd w:val="clear" w:color="auto" w:fill="auto"/>
          </w:tcPr>
          <w:p w:rsidR="00FA1127" w:rsidRPr="002C586F" w:rsidRDefault="00FA1127" w:rsidP="00FA1127">
            <w:pPr>
              <w:rPr>
                <w:rFonts w:cs="Arial"/>
                <w:b/>
              </w:rPr>
            </w:pPr>
            <w:r w:rsidRPr="002C586F">
              <w:rPr>
                <w:rFonts w:cs="Arial"/>
                <w:b/>
              </w:rPr>
              <w:t>Comment</w:t>
            </w:r>
          </w:p>
        </w:tc>
      </w:tr>
      <w:tr w:rsidR="00FA1127" w:rsidRPr="002C586F" w:rsidTr="00FA1127">
        <w:tc>
          <w:tcPr>
            <w:tcW w:w="1668" w:type="dxa"/>
            <w:shd w:val="clear" w:color="auto" w:fill="auto"/>
          </w:tcPr>
          <w:p w:rsidR="00FA1127" w:rsidRPr="002C586F" w:rsidRDefault="00FA1127" w:rsidP="00FA1127">
            <w:pPr>
              <w:rPr>
                <w:rFonts w:cs="Arial"/>
              </w:rPr>
            </w:pPr>
            <w:r w:rsidRPr="002C586F">
              <w:rPr>
                <w:rFonts w:cs="Arial"/>
              </w:rPr>
              <w:t>Special Needs Transport</w:t>
            </w:r>
          </w:p>
        </w:tc>
        <w:tc>
          <w:tcPr>
            <w:tcW w:w="1417" w:type="dxa"/>
            <w:shd w:val="clear" w:color="auto" w:fill="auto"/>
          </w:tcPr>
          <w:p w:rsidR="00FA1127" w:rsidRPr="002C586F" w:rsidRDefault="00FA1127" w:rsidP="00FA1127">
            <w:pPr>
              <w:rPr>
                <w:rFonts w:cs="Arial"/>
              </w:rPr>
            </w:pPr>
            <w:r w:rsidRPr="002C586F">
              <w:rPr>
                <w:rFonts w:cs="Arial"/>
              </w:rPr>
              <w:t>(100)</w:t>
            </w:r>
          </w:p>
        </w:tc>
        <w:tc>
          <w:tcPr>
            <w:tcW w:w="5440" w:type="dxa"/>
            <w:shd w:val="clear" w:color="auto" w:fill="auto"/>
          </w:tcPr>
          <w:p w:rsidR="00FA1127" w:rsidRPr="002C586F" w:rsidRDefault="00FA1127" w:rsidP="00FA1127">
            <w:pPr>
              <w:rPr>
                <w:rFonts w:cs="Arial"/>
              </w:rPr>
            </w:pPr>
            <w:r w:rsidRPr="002C586F">
              <w:rPr>
                <w:rFonts w:cs="Arial"/>
              </w:rPr>
              <w:t>Over the half-term period the service is going to review the current routes and look to merge them where possible.</w:t>
            </w:r>
          </w:p>
        </w:tc>
      </w:tr>
      <w:tr w:rsidR="00FA1127" w:rsidRPr="002C586F" w:rsidTr="00FA1127">
        <w:tc>
          <w:tcPr>
            <w:tcW w:w="1668" w:type="dxa"/>
            <w:shd w:val="clear" w:color="auto" w:fill="auto"/>
          </w:tcPr>
          <w:p w:rsidR="00FA1127" w:rsidRPr="002C586F" w:rsidRDefault="00FA1127" w:rsidP="00FA1127">
            <w:pPr>
              <w:rPr>
                <w:rFonts w:cs="Arial"/>
              </w:rPr>
            </w:pPr>
            <w:r w:rsidRPr="002C586F">
              <w:rPr>
                <w:rFonts w:cs="Arial"/>
              </w:rPr>
              <w:t>Legal</w:t>
            </w:r>
          </w:p>
        </w:tc>
        <w:tc>
          <w:tcPr>
            <w:tcW w:w="1417" w:type="dxa"/>
            <w:shd w:val="clear" w:color="auto" w:fill="auto"/>
          </w:tcPr>
          <w:p w:rsidR="00FA1127" w:rsidRPr="002C586F" w:rsidRDefault="00FA1127" w:rsidP="00FA1127">
            <w:pPr>
              <w:rPr>
                <w:rFonts w:cs="Arial"/>
              </w:rPr>
            </w:pPr>
            <w:r w:rsidRPr="002C586F">
              <w:rPr>
                <w:rFonts w:cs="Arial"/>
              </w:rPr>
              <w:t>(100)</w:t>
            </w:r>
          </w:p>
        </w:tc>
        <w:tc>
          <w:tcPr>
            <w:tcW w:w="5440" w:type="dxa"/>
            <w:shd w:val="clear" w:color="auto" w:fill="auto"/>
          </w:tcPr>
          <w:p w:rsidR="00FA1127" w:rsidRPr="002C586F" w:rsidRDefault="00FA1127" w:rsidP="00FA1127">
            <w:pPr>
              <w:rPr>
                <w:rFonts w:cs="Arial"/>
              </w:rPr>
            </w:pPr>
            <w:r w:rsidRPr="002C586F">
              <w:rPr>
                <w:rFonts w:cs="Arial"/>
              </w:rPr>
              <w:t>Current spending trends indicate a potential opportunity in this area. Careful management of this area is likely to yield a</w:t>
            </w:r>
            <w:r>
              <w:rPr>
                <w:rFonts w:cs="Arial"/>
              </w:rPr>
              <w:t xml:space="preserve"> reduction in spend.</w:t>
            </w:r>
          </w:p>
        </w:tc>
      </w:tr>
      <w:tr w:rsidR="00FA1127" w:rsidRPr="002C586F" w:rsidTr="00FA1127">
        <w:tc>
          <w:tcPr>
            <w:tcW w:w="1668" w:type="dxa"/>
            <w:shd w:val="clear" w:color="auto" w:fill="auto"/>
          </w:tcPr>
          <w:p w:rsidR="00FA1127" w:rsidRPr="002C586F" w:rsidRDefault="00FA1127" w:rsidP="00FA1127">
            <w:pPr>
              <w:rPr>
                <w:rFonts w:cs="Arial"/>
              </w:rPr>
            </w:pPr>
            <w:r w:rsidRPr="002C586F">
              <w:rPr>
                <w:rFonts w:cs="Arial"/>
              </w:rPr>
              <w:t>Management</w:t>
            </w:r>
          </w:p>
        </w:tc>
        <w:tc>
          <w:tcPr>
            <w:tcW w:w="1417" w:type="dxa"/>
            <w:shd w:val="clear" w:color="auto" w:fill="auto"/>
          </w:tcPr>
          <w:p w:rsidR="00FA1127" w:rsidRPr="002C586F" w:rsidRDefault="00FA1127" w:rsidP="00FA1127">
            <w:pPr>
              <w:rPr>
                <w:rFonts w:cs="Arial"/>
              </w:rPr>
            </w:pPr>
            <w:r w:rsidRPr="002C586F">
              <w:rPr>
                <w:rFonts w:cs="Arial"/>
              </w:rPr>
              <w:t>(74)</w:t>
            </w:r>
          </w:p>
        </w:tc>
        <w:tc>
          <w:tcPr>
            <w:tcW w:w="5440" w:type="dxa"/>
            <w:shd w:val="clear" w:color="auto" w:fill="auto"/>
          </w:tcPr>
          <w:p w:rsidR="00FA1127" w:rsidRPr="002C586F" w:rsidRDefault="00FA1127" w:rsidP="00FA1127">
            <w:pPr>
              <w:rPr>
                <w:rFonts w:cs="Arial"/>
              </w:rPr>
            </w:pPr>
            <w:r w:rsidRPr="002C586F">
              <w:rPr>
                <w:rFonts w:cs="Arial"/>
              </w:rPr>
              <w:t>Flexible use of government grants.</w:t>
            </w:r>
          </w:p>
        </w:tc>
      </w:tr>
      <w:tr w:rsidR="00FA1127" w:rsidRPr="002C586F" w:rsidTr="00FA1127">
        <w:tc>
          <w:tcPr>
            <w:tcW w:w="1668" w:type="dxa"/>
            <w:shd w:val="clear" w:color="auto" w:fill="auto"/>
          </w:tcPr>
          <w:p w:rsidR="00FA1127" w:rsidRPr="002C586F" w:rsidRDefault="00FA1127" w:rsidP="00FA1127">
            <w:pPr>
              <w:rPr>
                <w:rFonts w:cs="Arial"/>
                <w:b/>
              </w:rPr>
            </w:pPr>
            <w:r w:rsidRPr="002C586F">
              <w:rPr>
                <w:rFonts w:cs="Arial"/>
                <w:b/>
              </w:rPr>
              <w:t>Total</w:t>
            </w:r>
          </w:p>
        </w:tc>
        <w:tc>
          <w:tcPr>
            <w:tcW w:w="1417" w:type="dxa"/>
            <w:shd w:val="clear" w:color="auto" w:fill="auto"/>
          </w:tcPr>
          <w:p w:rsidR="00FA1127" w:rsidRPr="002C586F" w:rsidRDefault="00FA1127" w:rsidP="00FA1127">
            <w:pPr>
              <w:rPr>
                <w:rFonts w:cs="Arial"/>
                <w:b/>
              </w:rPr>
            </w:pPr>
            <w:r w:rsidRPr="002C586F">
              <w:rPr>
                <w:rFonts w:cs="Arial"/>
                <w:b/>
              </w:rPr>
              <w:t>(274)</w:t>
            </w:r>
          </w:p>
        </w:tc>
        <w:tc>
          <w:tcPr>
            <w:tcW w:w="5440" w:type="dxa"/>
            <w:shd w:val="clear" w:color="auto" w:fill="auto"/>
          </w:tcPr>
          <w:p w:rsidR="00FA1127" w:rsidRPr="002C586F" w:rsidRDefault="00FA1127" w:rsidP="00FA1127">
            <w:pPr>
              <w:rPr>
                <w:rFonts w:cs="Arial"/>
              </w:rPr>
            </w:pPr>
          </w:p>
        </w:tc>
      </w:tr>
    </w:tbl>
    <w:p w:rsidR="00FA1127" w:rsidRPr="007A2234" w:rsidRDefault="00FA1127" w:rsidP="00FA1127">
      <w:pPr>
        <w:suppressAutoHyphens/>
        <w:rPr>
          <w:rFonts w:cs="Arial"/>
          <w:szCs w:val="24"/>
          <w:lang w:eastAsia="ar-SA"/>
        </w:rPr>
      </w:pPr>
    </w:p>
    <w:p w:rsidR="007A2234" w:rsidRPr="007A2234" w:rsidRDefault="007A2234" w:rsidP="007A2234">
      <w:pPr>
        <w:suppressAutoHyphens/>
        <w:rPr>
          <w:rFonts w:cs="Arial"/>
          <w:b/>
          <w:szCs w:val="24"/>
          <w:lang w:eastAsia="ar-SA"/>
        </w:rPr>
      </w:pPr>
    </w:p>
    <w:p w:rsidR="007A2234" w:rsidRPr="007A2234" w:rsidRDefault="007A2234" w:rsidP="007A2234">
      <w:pPr>
        <w:jc w:val="both"/>
        <w:rPr>
          <w:rFonts w:cs="Arial"/>
          <w:b/>
          <w:szCs w:val="24"/>
        </w:rPr>
      </w:pPr>
      <w:r w:rsidRPr="007A2234">
        <w:rPr>
          <w:rFonts w:cs="Arial"/>
          <w:b/>
          <w:szCs w:val="24"/>
        </w:rPr>
        <w:t>PUBLIC HEALTH</w:t>
      </w:r>
    </w:p>
    <w:p w:rsidR="007A2234" w:rsidRPr="007A2234" w:rsidRDefault="007A2234" w:rsidP="007A2234">
      <w:pPr>
        <w:rPr>
          <w:rFonts w:eastAsia="Calibri" w:cs="Arial"/>
          <w:b/>
          <w:bCs/>
          <w:color w:val="000000"/>
          <w:sz w:val="22"/>
          <w:szCs w:val="22"/>
          <w:u w:val="single"/>
          <w:lang w:eastAsia="en-GB"/>
        </w:rPr>
      </w:pPr>
    </w:p>
    <w:p w:rsidR="007A2234" w:rsidRPr="007A2234" w:rsidRDefault="007A2234" w:rsidP="00D44E09">
      <w:pPr>
        <w:numPr>
          <w:ilvl w:val="0"/>
          <w:numId w:val="9"/>
        </w:numPr>
        <w:spacing w:after="240"/>
        <w:ind w:hanging="720"/>
        <w:rPr>
          <w:rFonts w:cs="Arial"/>
          <w:szCs w:val="24"/>
        </w:rPr>
      </w:pPr>
      <w:r w:rsidRPr="007A2234">
        <w:rPr>
          <w:rFonts w:cs="Arial"/>
          <w:szCs w:val="24"/>
        </w:rPr>
        <w:t>The budgets for 2015/16 reflect the commissioning intentions agreed by Cabinet in December.</w:t>
      </w:r>
    </w:p>
    <w:p w:rsidR="007A2234" w:rsidRDefault="00544298" w:rsidP="00D44E09">
      <w:pPr>
        <w:numPr>
          <w:ilvl w:val="0"/>
          <w:numId w:val="9"/>
        </w:numPr>
        <w:spacing w:after="240"/>
        <w:ind w:hanging="720"/>
        <w:rPr>
          <w:rFonts w:cs="Arial"/>
          <w:szCs w:val="24"/>
        </w:rPr>
      </w:pPr>
      <w:r w:rsidRPr="00544298">
        <w:rPr>
          <w:rFonts w:cs="Arial"/>
          <w:szCs w:val="24"/>
        </w:rPr>
        <w:t>The overall forecast position for Public Health is for a nil variance.</w:t>
      </w:r>
    </w:p>
    <w:p w:rsidR="00544298" w:rsidRPr="00B75106" w:rsidRDefault="00544298" w:rsidP="00544298">
      <w:pPr>
        <w:rPr>
          <w:rFonts w:cs="Arial"/>
          <w:szCs w:val="24"/>
        </w:rPr>
      </w:pPr>
      <w:r w:rsidRPr="00B75106">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B75106">
        <w:rPr>
          <w:rFonts w:cs="Arial"/>
          <w:szCs w:val="24"/>
        </w:rPr>
        <w:t>£k</w:t>
      </w:r>
    </w:p>
    <w:p w:rsidR="00544298" w:rsidRPr="00B75106" w:rsidRDefault="00544298" w:rsidP="00544298">
      <w:pPr>
        <w:ind w:left="426"/>
        <w:rPr>
          <w:rFonts w:cs="Arial"/>
          <w:szCs w:val="24"/>
        </w:rPr>
      </w:pPr>
      <w:r w:rsidRPr="00B75106">
        <w:rPr>
          <w:rFonts w:cs="Arial"/>
          <w:szCs w:val="24"/>
        </w:rPr>
        <w:t xml:space="preserve">2014/15 Public Health Reserve </w:t>
      </w:r>
      <w:proofErr w:type="gramStart"/>
      <w:r w:rsidRPr="00B75106">
        <w:rPr>
          <w:rFonts w:cs="Arial"/>
          <w:szCs w:val="24"/>
        </w:rPr>
        <w:t>c/f</w:t>
      </w:r>
      <w:proofErr w:type="gramEnd"/>
      <w:r w:rsidRPr="00B75106">
        <w:rPr>
          <w:rFonts w:cs="Arial"/>
          <w:szCs w:val="24"/>
        </w:rPr>
        <w:tab/>
      </w:r>
      <w:r w:rsidRPr="00B75106">
        <w:rPr>
          <w:rFonts w:cs="Arial"/>
          <w:szCs w:val="24"/>
        </w:rPr>
        <w:tab/>
        <w:t xml:space="preserve">  </w:t>
      </w:r>
      <w:r>
        <w:rPr>
          <w:rFonts w:cs="Arial"/>
          <w:szCs w:val="24"/>
        </w:rPr>
        <w:tab/>
      </w:r>
      <w:r w:rsidRPr="00B75106">
        <w:rPr>
          <w:rFonts w:cs="Arial"/>
          <w:szCs w:val="24"/>
        </w:rPr>
        <w:t>908</w:t>
      </w:r>
    </w:p>
    <w:p w:rsidR="00544298" w:rsidRPr="00B75106" w:rsidRDefault="00544298" w:rsidP="00544298">
      <w:pPr>
        <w:ind w:left="426"/>
        <w:rPr>
          <w:rFonts w:cs="Arial"/>
          <w:szCs w:val="24"/>
        </w:rPr>
      </w:pPr>
      <w:r w:rsidRPr="00B75106">
        <w:rPr>
          <w:rFonts w:cs="Arial"/>
          <w:szCs w:val="24"/>
        </w:rPr>
        <w:t>In year underspend of PH Grant</w:t>
      </w:r>
      <w:r w:rsidRPr="00B75106">
        <w:rPr>
          <w:rFonts w:cs="Arial"/>
          <w:szCs w:val="24"/>
        </w:rPr>
        <w:tab/>
      </w:r>
      <w:r w:rsidRPr="00B75106">
        <w:rPr>
          <w:rFonts w:cs="Arial"/>
          <w:szCs w:val="24"/>
        </w:rPr>
        <w:tab/>
      </w:r>
      <w:r w:rsidRPr="00B75106">
        <w:rPr>
          <w:rFonts w:cs="Arial"/>
          <w:szCs w:val="24"/>
        </w:rPr>
        <w:tab/>
        <w:t>500</w:t>
      </w:r>
    </w:p>
    <w:p w:rsidR="00544298" w:rsidRPr="00B75106" w:rsidRDefault="00544298" w:rsidP="00544298">
      <w:pPr>
        <w:ind w:left="426"/>
        <w:rPr>
          <w:rFonts w:cs="Arial"/>
          <w:szCs w:val="24"/>
        </w:rPr>
      </w:pPr>
      <w:proofErr w:type="gramStart"/>
      <w:r w:rsidRPr="00B75106">
        <w:rPr>
          <w:rFonts w:cs="Arial"/>
          <w:szCs w:val="24"/>
        </w:rPr>
        <w:t>Less  in</w:t>
      </w:r>
      <w:proofErr w:type="gramEnd"/>
      <w:r w:rsidRPr="00B75106">
        <w:rPr>
          <w:rFonts w:cs="Arial"/>
          <w:szCs w:val="24"/>
        </w:rPr>
        <w:t xml:space="preserve"> year reduction</w:t>
      </w:r>
      <w:r w:rsidRPr="00B75106">
        <w:rPr>
          <w:rFonts w:cs="Arial"/>
          <w:szCs w:val="24"/>
        </w:rPr>
        <w:tab/>
      </w:r>
      <w:r w:rsidRPr="00B75106">
        <w:rPr>
          <w:rFonts w:cs="Arial"/>
          <w:szCs w:val="24"/>
        </w:rPr>
        <w:tab/>
      </w:r>
      <w:r w:rsidRPr="00B75106">
        <w:rPr>
          <w:rFonts w:cs="Arial"/>
          <w:szCs w:val="24"/>
        </w:rPr>
        <w:tab/>
        <w:t xml:space="preserve"> </w:t>
      </w:r>
      <w:r w:rsidR="004B1F90">
        <w:rPr>
          <w:rFonts w:cs="Arial"/>
          <w:szCs w:val="24"/>
        </w:rPr>
        <w:tab/>
      </w:r>
      <w:r w:rsidR="004B1F90">
        <w:rPr>
          <w:rFonts w:cs="Arial"/>
          <w:szCs w:val="24"/>
        </w:rPr>
        <w:tab/>
      </w:r>
      <w:r w:rsidRPr="00B75106">
        <w:rPr>
          <w:rFonts w:cs="Arial"/>
          <w:szCs w:val="24"/>
        </w:rPr>
        <w:t>(665)</w:t>
      </w:r>
    </w:p>
    <w:p w:rsidR="00544298" w:rsidRPr="00B75106" w:rsidRDefault="00544298" w:rsidP="00544298">
      <w:pPr>
        <w:ind w:left="426"/>
        <w:rPr>
          <w:rFonts w:cs="Arial"/>
          <w:szCs w:val="24"/>
        </w:rPr>
      </w:pPr>
      <w:r w:rsidRPr="00B75106">
        <w:rPr>
          <w:rFonts w:cs="Arial"/>
          <w:szCs w:val="24"/>
        </w:rPr>
        <w:t>Less spend on carry forward projects</w:t>
      </w:r>
      <w:r w:rsidRPr="00B75106">
        <w:rPr>
          <w:rFonts w:cs="Arial"/>
          <w:szCs w:val="24"/>
        </w:rPr>
        <w:tab/>
      </w:r>
      <w:r w:rsidRPr="00B75106">
        <w:rPr>
          <w:rFonts w:cs="Arial"/>
          <w:szCs w:val="24"/>
        </w:rPr>
        <w:tab/>
        <w:t xml:space="preserve"> </w:t>
      </w:r>
      <w:r w:rsidRPr="000A0B39">
        <w:rPr>
          <w:rFonts w:cs="Arial"/>
          <w:szCs w:val="24"/>
          <w:u w:val="single"/>
        </w:rPr>
        <w:t>(463)</w:t>
      </w:r>
    </w:p>
    <w:p w:rsidR="00544298" w:rsidRDefault="00544298" w:rsidP="00544298">
      <w:pPr>
        <w:spacing w:after="240"/>
        <w:ind w:left="426"/>
        <w:rPr>
          <w:rFonts w:cs="Arial"/>
          <w:szCs w:val="24"/>
        </w:rPr>
      </w:pPr>
      <w:r w:rsidRPr="00B75106">
        <w:rPr>
          <w:rFonts w:cs="Arial"/>
          <w:szCs w:val="24"/>
        </w:rPr>
        <w:t>2015/16 forecast Public Health reserve</w:t>
      </w:r>
      <w:r w:rsidRPr="00B75106">
        <w:rPr>
          <w:rFonts w:cs="Arial"/>
          <w:szCs w:val="24"/>
        </w:rPr>
        <w:tab/>
        <w:t xml:space="preserve">    </w:t>
      </w:r>
      <w:r w:rsidRPr="00B75106">
        <w:rPr>
          <w:rFonts w:cs="Arial"/>
          <w:szCs w:val="24"/>
        </w:rPr>
        <w:tab/>
      </w:r>
      <w:r w:rsidR="000A0B39">
        <w:rPr>
          <w:rFonts w:cs="Arial"/>
          <w:szCs w:val="24"/>
        </w:rPr>
        <w:t>280</w:t>
      </w:r>
      <w:r w:rsidRPr="00987A2E">
        <w:rPr>
          <w:rFonts w:cs="Arial"/>
          <w:szCs w:val="24"/>
        </w:rPr>
        <w:t xml:space="preserve">    </w:t>
      </w:r>
    </w:p>
    <w:p w:rsidR="00544298" w:rsidRPr="00544298" w:rsidRDefault="00544298" w:rsidP="00D44E09">
      <w:pPr>
        <w:numPr>
          <w:ilvl w:val="0"/>
          <w:numId w:val="9"/>
        </w:numPr>
        <w:spacing w:after="240"/>
        <w:ind w:hanging="720"/>
        <w:rPr>
          <w:rFonts w:cs="Arial"/>
          <w:szCs w:val="24"/>
        </w:rPr>
      </w:pPr>
      <w:r w:rsidRPr="00544298">
        <w:rPr>
          <w:rFonts w:cs="Arial"/>
          <w:szCs w:val="24"/>
        </w:rPr>
        <w:t>The</w:t>
      </w:r>
      <w:r>
        <w:rPr>
          <w:rFonts w:cs="Arial"/>
          <w:szCs w:val="24"/>
        </w:rPr>
        <w:t>re is a</w:t>
      </w:r>
      <w:r w:rsidRPr="00544298">
        <w:rPr>
          <w:rFonts w:cs="Arial"/>
          <w:szCs w:val="24"/>
        </w:rPr>
        <w:t xml:space="preserve"> £</w:t>
      </w:r>
      <w:r>
        <w:rPr>
          <w:rFonts w:cs="Arial"/>
          <w:szCs w:val="24"/>
        </w:rPr>
        <w:t>0.500m</w:t>
      </w:r>
      <w:r w:rsidRPr="00544298">
        <w:rPr>
          <w:rFonts w:cs="Arial"/>
          <w:szCs w:val="24"/>
        </w:rPr>
        <w:t xml:space="preserve"> in-year </w:t>
      </w:r>
      <w:r w:rsidR="000A0B39">
        <w:rPr>
          <w:rFonts w:cs="Arial"/>
          <w:szCs w:val="24"/>
        </w:rPr>
        <w:t xml:space="preserve">service </w:t>
      </w:r>
      <w:r w:rsidRPr="00544298">
        <w:rPr>
          <w:rFonts w:cs="Arial"/>
          <w:szCs w:val="24"/>
        </w:rPr>
        <w:t xml:space="preserve">under spend </w:t>
      </w:r>
      <w:r>
        <w:rPr>
          <w:rFonts w:cs="Arial"/>
          <w:szCs w:val="24"/>
        </w:rPr>
        <w:t xml:space="preserve">which </w:t>
      </w:r>
      <w:r w:rsidRPr="00544298">
        <w:rPr>
          <w:rFonts w:cs="Arial"/>
          <w:szCs w:val="24"/>
        </w:rPr>
        <w:t>takes into account wider public health outcomes being fully delivered (£0.727m). The</w:t>
      </w:r>
      <w:r w:rsidR="00113AD3">
        <w:rPr>
          <w:rFonts w:cs="Arial"/>
          <w:szCs w:val="24"/>
        </w:rPr>
        <w:t>re is however a</w:t>
      </w:r>
      <w:r>
        <w:rPr>
          <w:rFonts w:cs="Arial"/>
          <w:szCs w:val="24"/>
        </w:rPr>
        <w:t>n</w:t>
      </w:r>
      <w:r w:rsidR="00113AD3">
        <w:rPr>
          <w:rFonts w:cs="Arial"/>
          <w:szCs w:val="24"/>
        </w:rPr>
        <w:t xml:space="preserve"> in</w:t>
      </w:r>
      <w:r>
        <w:rPr>
          <w:rFonts w:cs="Arial"/>
          <w:szCs w:val="24"/>
        </w:rPr>
        <w:t>-year</w:t>
      </w:r>
      <w:r w:rsidRPr="00544298">
        <w:rPr>
          <w:rFonts w:cs="Arial"/>
          <w:szCs w:val="24"/>
        </w:rPr>
        <w:t xml:space="preserve"> reduction in grant (£0.655m)</w:t>
      </w:r>
      <w:r w:rsidR="00113AD3">
        <w:rPr>
          <w:rFonts w:cs="Arial"/>
          <w:szCs w:val="24"/>
        </w:rPr>
        <w:t xml:space="preserve"> that was confirmed on 4 November 2015</w:t>
      </w:r>
      <w:r>
        <w:rPr>
          <w:rFonts w:cs="Arial"/>
          <w:szCs w:val="24"/>
        </w:rPr>
        <w:t>.</w:t>
      </w:r>
      <w:r w:rsidRPr="00544298">
        <w:rPr>
          <w:rFonts w:cs="Arial"/>
          <w:szCs w:val="24"/>
        </w:rPr>
        <w:t xml:space="preserve"> The impact of this grant reduction </w:t>
      </w:r>
      <w:r w:rsidRPr="00544298">
        <w:rPr>
          <w:rFonts w:cs="Arial"/>
          <w:szCs w:val="24"/>
        </w:rPr>
        <w:lastRenderedPageBreak/>
        <w:t>would mean an overspend of £165k (£0.500m less £0.655m) which w</w:t>
      </w:r>
      <w:r w:rsidR="000A0B39">
        <w:rPr>
          <w:rFonts w:cs="Arial"/>
          <w:szCs w:val="24"/>
        </w:rPr>
        <w:t>ill be met by a drawing from the</w:t>
      </w:r>
      <w:r w:rsidRPr="00544298">
        <w:rPr>
          <w:rFonts w:cs="Arial"/>
          <w:szCs w:val="24"/>
        </w:rPr>
        <w:t xml:space="preserve"> Public Health Reserve</w:t>
      </w:r>
      <w:r w:rsidR="000A0B39">
        <w:rPr>
          <w:rFonts w:cs="Arial"/>
          <w:szCs w:val="24"/>
        </w:rPr>
        <w:t xml:space="preserve"> of £0.628m to leave a balance at the year</w:t>
      </w:r>
      <w:r w:rsidR="00113AD3">
        <w:rPr>
          <w:rFonts w:cs="Arial"/>
          <w:szCs w:val="24"/>
        </w:rPr>
        <w:t>-</w:t>
      </w:r>
      <w:r w:rsidR="000A0B39">
        <w:rPr>
          <w:rFonts w:cs="Arial"/>
          <w:szCs w:val="24"/>
        </w:rPr>
        <w:t xml:space="preserve">end of £280k. </w:t>
      </w:r>
    </w:p>
    <w:p w:rsidR="007A2234" w:rsidRPr="007A2234" w:rsidRDefault="007A2234" w:rsidP="00D44E09">
      <w:pPr>
        <w:numPr>
          <w:ilvl w:val="0"/>
          <w:numId w:val="9"/>
        </w:numPr>
        <w:spacing w:after="240"/>
        <w:ind w:hanging="720"/>
        <w:rPr>
          <w:rFonts w:cs="Arial"/>
          <w:szCs w:val="24"/>
        </w:rPr>
      </w:pPr>
      <w:r w:rsidRPr="007A2234">
        <w:rPr>
          <w:rFonts w:cs="Arial"/>
          <w:szCs w:val="24"/>
        </w:rPr>
        <w:t xml:space="preserve">The 2015/16 budget process created capacity of £0.627m in the grant against which wider public health outcomes could be charged. In addition a further capacity of £100k reflecting cabinet agreed in-year savings of expenditure to be funded from the grant </w:t>
      </w:r>
      <w:r w:rsidR="000A0B39">
        <w:rPr>
          <w:rFonts w:cs="Arial"/>
          <w:szCs w:val="24"/>
        </w:rPr>
        <w:t>w</w:t>
      </w:r>
      <w:r w:rsidRPr="007A2234">
        <w:rPr>
          <w:rFonts w:cs="Arial"/>
          <w:szCs w:val="24"/>
        </w:rPr>
        <w:t xml:space="preserve">as identified, giving a total MTFS saving of £727k. </w:t>
      </w:r>
    </w:p>
    <w:p w:rsidR="007A2234" w:rsidRPr="00B75106" w:rsidRDefault="00B75106" w:rsidP="00D44E09">
      <w:pPr>
        <w:rPr>
          <w:rFonts w:cs="Arial"/>
          <w:szCs w:val="24"/>
        </w:rPr>
      </w:pPr>
      <w:r w:rsidRPr="00B75106">
        <w:rPr>
          <w:rFonts w:cs="Arial"/>
          <w:szCs w:val="24"/>
        </w:rPr>
        <w:tab/>
      </w:r>
      <w:r w:rsidRPr="00B75106">
        <w:rPr>
          <w:rFonts w:cs="Arial"/>
          <w:szCs w:val="24"/>
        </w:rPr>
        <w:tab/>
      </w:r>
      <w:r w:rsidRPr="00B75106">
        <w:rPr>
          <w:rFonts w:cs="Arial"/>
          <w:szCs w:val="24"/>
        </w:rPr>
        <w:tab/>
      </w:r>
      <w:r w:rsidRPr="00B75106">
        <w:rPr>
          <w:rFonts w:cs="Arial"/>
          <w:szCs w:val="24"/>
        </w:rPr>
        <w:tab/>
      </w:r>
      <w:r w:rsidR="00987A2E" w:rsidRPr="00987A2E">
        <w:rPr>
          <w:rFonts w:cs="Arial"/>
          <w:szCs w:val="24"/>
        </w:rPr>
        <w:t xml:space="preserve"> </w:t>
      </w:r>
    </w:p>
    <w:bookmarkEnd w:id="1"/>
    <w:p w:rsidR="00741AEB" w:rsidRPr="006B1DE1" w:rsidRDefault="00741AEB" w:rsidP="00741AEB">
      <w:pPr>
        <w:rPr>
          <w:rFonts w:cs="Arial"/>
          <w:b/>
          <w:szCs w:val="24"/>
        </w:rPr>
      </w:pPr>
      <w:r w:rsidRPr="006B1DE1">
        <w:rPr>
          <w:rFonts w:cs="Arial"/>
          <w:b/>
          <w:szCs w:val="24"/>
        </w:rPr>
        <w:t>BUSINESS SUPPORT</w:t>
      </w:r>
    </w:p>
    <w:p w:rsidR="00741AEB" w:rsidRPr="006B1DE1" w:rsidRDefault="00741AEB" w:rsidP="00D44E09">
      <w:pPr>
        <w:numPr>
          <w:ilvl w:val="0"/>
          <w:numId w:val="9"/>
        </w:numPr>
        <w:spacing w:after="240"/>
        <w:ind w:hanging="720"/>
        <w:rPr>
          <w:rFonts w:cs="Arial"/>
          <w:szCs w:val="24"/>
        </w:rPr>
      </w:pPr>
      <w:r w:rsidRPr="006B1DE1">
        <w:rPr>
          <w:rFonts w:cs="Arial"/>
          <w:szCs w:val="24"/>
        </w:rPr>
        <w:t xml:space="preserve">Business Support is forecasting </w:t>
      </w:r>
      <w:proofErr w:type="gramStart"/>
      <w:r w:rsidRPr="006B1DE1">
        <w:rPr>
          <w:rFonts w:cs="Arial"/>
          <w:szCs w:val="24"/>
        </w:rPr>
        <w:t>an</w:t>
      </w:r>
      <w:r w:rsidR="00F84EA8">
        <w:rPr>
          <w:rFonts w:cs="Arial"/>
          <w:szCs w:val="24"/>
        </w:rPr>
        <w:t xml:space="preserve"> </w:t>
      </w:r>
      <w:r w:rsidRPr="006B1DE1">
        <w:rPr>
          <w:rFonts w:cs="Arial"/>
          <w:szCs w:val="24"/>
        </w:rPr>
        <w:t>overspend</w:t>
      </w:r>
      <w:proofErr w:type="gramEnd"/>
      <w:r w:rsidRPr="006B1DE1">
        <w:rPr>
          <w:rFonts w:cs="Arial"/>
          <w:szCs w:val="24"/>
        </w:rPr>
        <w:t xml:space="preserve"> of £0.5</w:t>
      </w:r>
      <w:r w:rsidR="007A2234">
        <w:rPr>
          <w:rFonts w:cs="Arial"/>
          <w:szCs w:val="24"/>
        </w:rPr>
        <w:t>00</w:t>
      </w:r>
      <w:r w:rsidRPr="006B1DE1">
        <w:rPr>
          <w:rFonts w:cs="Arial"/>
          <w:szCs w:val="24"/>
        </w:rPr>
        <w:t xml:space="preserve">m. </w:t>
      </w:r>
      <w:r w:rsidR="00F84EA8">
        <w:rPr>
          <w:rFonts w:cs="Arial"/>
          <w:szCs w:val="24"/>
        </w:rPr>
        <w:t>This is a reduction of £</w:t>
      </w:r>
      <w:r w:rsidR="009C02BB">
        <w:rPr>
          <w:rFonts w:cs="Arial"/>
          <w:szCs w:val="24"/>
        </w:rPr>
        <w:t>7</w:t>
      </w:r>
      <w:r w:rsidR="00F84EA8">
        <w:rPr>
          <w:rFonts w:cs="Arial"/>
          <w:szCs w:val="24"/>
        </w:rPr>
        <w:t>3k</w:t>
      </w:r>
      <w:r w:rsidR="009C02BB">
        <w:rPr>
          <w:rFonts w:cs="Arial"/>
          <w:szCs w:val="24"/>
        </w:rPr>
        <w:t xml:space="preserve"> o</w:t>
      </w:r>
      <w:r w:rsidR="00F84EA8">
        <w:rPr>
          <w:rFonts w:cs="Arial"/>
          <w:szCs w:val="24"/>
        </w:rPr>
        <w:t xml:space="preserve">n the forecast overspend at Quarter 1.  </w:t>
      </w:r>
      <w:r w:rsidRPr="006B1DE1">
        <w:rPr>
          <w:rFonts w:cs="Arial"/>
          <w:szCs w:val="24"/>
        </w:rPr>
        <w:t xml:space="preserve">Staff savings are not on track to be achieved within the current structure.  The Central Scanning project is running late and is currently delayed pending </w:t>
      </w:r>
      <w:r w:rsidR="007A2234">
        <w:rPr>
          <w:rFonts w:cs="Arial"/>
          <w:szCs w:val="24"/>
        </w:rPr>
        <w:t xml:space="preserve">our IT Supplier </w:t>
      </w:r>
      <w:r w:rsidRPr="006B1DE1">
        <w:rPr>
          <w:rFonts w:cs="Arial"/>
          <w:szCs w:val="24"/>
        </w:rPr>
        <w:t>providing support, this will impact on savings.</w:t>
      </w:r>
    </w:p>
    <w:p w:rsidR="007A2234" w:rsidRPr="00BE3735" w:rsidRDefault="007A2234" w:rsidP="00D44E09">
      <w:pPr>
        <w:pStyle w:val="Heading4"/>
        <w:ind w:left="360" w:hanging="360"/>
      </w:pPr>
      <w:bookmarkStart w:id="4" w:name="_Toc372706222"/>
      <w:r w:rsidRPr="00BE3735">
        <w:t>CORPORATE BUDGETS</w:t>
      </w:r>
      <w:bookmarkEnd w:id="4"/>
    </w:p>
    <w:p w:rsidR="007A2234" w:rsidRPr="00BE3735" w:rsidRDefault="007A2234" w:rsidP="00F84EA8">
      <w:pPr>
        <w:pStyle w:val="Heading4"/>
        <w:ind w:left="360"/>
      </w:pPr>
      <w:bookmarkStart w:id="5" w:name="_Toc372706223"/>
      <w:r w:rsidRPr="00BE3735">
        <w:t>Interest and Finance Charges</w:t>
      </w:r>
      <w:bookmarkEnd w:id="5"/>
    </w:p>
    <w:p w:rsidR="007A2234" w:rsidRDefault="007A2234" w:rsidP="00D44E09">
      <w:pPr>
        <w:numPr>
          <w:ilvl w:val="0"/>
          <w:numId w:val="9"/>
        </w:numPr>
        <w:spacing w:after="240"/>
        <w:ind w:hanging="720"/>
      </w:pPr>
      <w:r>
        <w:t xml:space="preserve">It is forecast that there will be </w:t>
      </w:r>
      <w:proofErr w:type="gramStart"/>
      <w:r>
        <w:t>an underspend</w:t>
      </w:r>
      <w:proofErr w:type="gramEnd"/>
      <w:r>
        <w:t xml:space="preserve"> of £50k on interest earned on balances.</w:t>
      </w:r>
    </w:p>
    <w:p w:rsidR="007A2234" w:rsidRPr="00F84EA8" w:rsidRDefault="007A2234" w:rsidP="00F84EA8">
      <w:pPr>
        <w:ind w:left="360"/>
        <w:rPr>
          <w:b/>
        </w:rPr>
      </w:pPr>
      <w:r w:rsidRPr="00F84EA8">
        <w:rPr>
          <w:b/>
        </w:rPr>
        <w:t>Business Rates Retention</w:t>
      </w:r>
    </w:p>
    <w:p w:rsidR="007A2234" w:rsidRDefault="007A2234" w:rsidP="00D44E09">
      <w:pPr>
        <w:numPr>
          <w:ilvl w:val="0"/>
          <w:numId w:val="9"/>
        </w:numPr>
        <w:spacing w:after="240"/>
        <w:ind w:hanging="720"/>
      </w:pPr>
      <w:r>
        <w:t xml:space="preserve">There will be a shortfall on the amount credited to the General fund of £82k.  The budget is set on data available in </w:t>
      </w:r>
      <w:proofErr w:type="gramStart"/>
      <w:r>
        <w:t>December,</w:t>
      </w:r>
      <w:proofErr w:type="gramEnd"/>
      <w:r>
        <w:t xml:space="preserve"> however the amount transferred from the Collection Fund is based on data available at the end of March when data is returned to the Department of communities and Local Government.  There had been </w:t>
      </w:r>
      <w:proofErr w:type="gramStart"/>
      <w:r>
        <w:t>a deterioration</w:t>
      </w:r>
      <w:proofErr w:type="gramEnd"/>
      <w:r>
        <w:t xml:space="preserve"> in the taxbase in the intervening period.</w:t>
      </w:r>
    </w:p>
    <w:p w:rsidR="007A2234" w:rsidRPr="00F84EA8" w:rsidRDefault="007A2234" w:rsidP="00F84EA8">
      <w:pPr>
        <w:ind w:left="360"/>
        <w:rPr>
          <w:b/>
        </w:rPr>
      </w:pPr>
      <w:r w:rsidRPr="00F84EA8">
        <w:rPr>
          <w:b/>
        </w:rPr>
        <w:t>S31 Grant to compensate for Business Rate Reliefs</w:t>
      </w:r>
    </w:p>
    <w:p w:rsidR="007A2234" w:rsidRDefault="007A2234" w:rsidP="00D44E09">
      <w:pPr>
        <w:numPr>
          <w:ilvl w:val="0"/>
          <w:numId w:val="9"/>
        </w:numPr>
        <w:spacing w:after="240"/>
        <w:ind w:hanging="720"/>
      </w:pPr>
      <w:r>
        <w:t>It is anticipated that there will be an additional £400k of grant in excess of the budget of £0.600m, based on the reliefs given to date this year.</w:t>
      </w:r>
    </w:p>
    <w:p w:rsidR="007A2234" w:rsidRPr="00F84EA8" w:rsidRDefault="007A2234" w:rsidP="00F84EA8">
      <w:pPr>
        <w:ind w:left="360"/>
        <w:rPr>
          <w:b/>
        </w:rPr>
      </w:pPr>
      <w:r w:rsidRPr="00F84EA8">
        <w:rPr>
          <w:b/>
        </w:rPr>
        <w:t>London Residuary Body Distribution</w:t>
      </w:r>
    </w:p>
    <w:p w:rsidR="007A2234" w:rsidRDefault="007A2234" w:rsidP="00D44E09">
      <w:pPr>
        <w:numPr>
          <w:ilvl w:val="0"/>
          <w:numId w:val="9"/>
        </w:numPr>
        <w:spacing w:after="240"/>
        <w:ind w:hanging="720"/>
      </w:pPr>
      <w:r>
        <w:t xml:space="preserve">Each year there is a distribution to boroughs of the surplus on the operation of the London eye.  The latest estimated notification is for a surplus of £33k against the budgeted income, including a </w:t>
      </w:r>
      <w:r w:rsidR="00BB7370">
        <w:t>late supplementary</w:t>
      </w:r>
      <w:r>
        <w:t xml:space="preserve"> distribution for 2014/15 of £14k.  </w:t>
      </w:r>
    </w:p>
    <w:p w:rsidR="007A2234" w:rsidRPr="00F84EA8" w:rsidRDefault="007A2234" w:rsidP="00F84EA8">
      <w:pPr>
        <w:ind w:left="360"/>
        <w:rPr>
          <w:b/>
        </w:rPr>
      </w:pPr>
      <w:r w:rsidRPr="00F84EA8">
        <w:rPr>
          <w:b/>
        </w:rPr>
        <w:t>Levies</w:t>
      </w:r>
    </w:p>
    <w:p w:rsidR="007A2234" w:rsidRDefault="007A2234" w:rsidP="00D44E09">
      <w:pPr>
        <w:numPr>
          <w:ilvl w:val="0"/>
          <w:numId w:val="9"/>
        </w:numPr>
        <w:spacing w:after="240"/>
        <w:ind w:hanging="720"/>
      </w:pPr>
      <w:r>
        <w:t>The actual levies for the London Pensions fund Authority and the London Boroughs Grant scheme are £8k less than the budget giving a budget saving.</w:t>
      </w:r>
    </w:p>
    <w:p w:rsidR="007A2234" w:rsidRPr="00F84EA8" w:rsidRDefault="007A2234" w:rsidP="00F84EA8">
      <w:pPr>
        <w:ind w:left="360"/>
        <w:rPr>
          <w:b/>
        </w:rPr>
      </w:pPr>
      <w:r w:rsidRPr="00F84EA8">
        <w:rPr>
          <w:b/>
        </w:rPr>
        <w:t>Coroners Court</w:t>
      </w:r>
    </w:p>
    <w:p w:rsidR="007A2234" w:rsidRPr="00BE3735" w:rsidRDefault="007A2234" w:rsidP="00D44E09">
      <w:pPr>
        <w:numPr>
          <w:ilvl w:val="0"/>
          <w:numId w:val="9"/>
        </w:numPr>
        <w:spacing w:after="240"/>
        <w:ind w:hanging="720"/>
      </w:pPr>
      <w:r>
        <w:t>Harrow’s estimated share of the costs of the Coroners Court is £29k less than the budget in the current year.</w:t>
      </w:r>
    </w:p>
    <w:p w:rsidR="007A2234" w:rsidRPr="00BE3735" w:rsidRDefault="007A2234" w:rsidP="00F84EA8">
      <w:pPr>
        <w:pStyle w:val="Heading4"/>
        <w:ind w:left="360"/>
      </w:pPr>
      <w:r w:rsidRPr="00BE3735">
        <w:t>Contingencies and Reserves</w:t>
      </w:r>
    </w:p>
    <w:p w:rsidR="007A2234" w:rsidRPr="00BE3735" w:rsidRDefault="007A2234" w:rsidP="00D44E09">
      <w:pPr>
        <w:numPr>
          <w:ilvl w:val="0"/>
          <w:numId w:val="9"/>
        </w:numPr>
        <w:spacing w:after="240"/>
        <w:ind w:hanging="720"/>
      </w:pPr>
      <w:r w:rsidRPr="00BE3735">
        <w:t xml:space="preserve">The contingencies are there to cover unavoidable inflation pressures for the pay award and above a standard 1.3% increase on energy together with other unforeseen items and spending pressures and to cover areas of risk and uncertainty.  There are also specific reserves </w:t>
      </w:r>
      <w:r w:rsidRPr="00BE3735">
        <w:lastRenderedPageBreak/>
        <w:t xml:space="preserve">for the implementation costs of the MTFS, carry forwards, Business </w:t>
      </w:r>
      <w:r>
        <w:t>R</w:t>
      </w:r>
      <w:r w:rsidRPr="00BE3735">
        <w:t>isks and the Transformation and Priority Initiatives Fund (TPIF).</w:t>
      </w:r>
    </w:p>
    <w:p w:rsidR="007A2234" w:rsidRPr="00BE3735" w:rsidRDefault="007A2234" w:rsidP="00F84EA8">
      <w:pPr>
        <w:pStyle w:val="Heading4"/>
        <w:ind w:left="360"/>
      </w:pPr>
      <w:r w:rsidRPr="00BE3735">
        <w:t>Central Contingency</w:t>
      </w:r>
    </w:p>
    <w:p w:rsidR="007A2234" w:rsidRPr="007A2234" w:rsidRDefault="007A2234" w:rsidP="00D44E09">
      <w:pPr>
        <w:numPr>
          <w:ilvl w:val="0"/>
          <w:numId w:val="9"/>
        </w:numPr>
        <w:spacing w:after="240"/>
        <w:ind w:hanging="720"/>
        <w:rPr>
          <w:b/>
        </w:rPr>
      </w:pPr>
      <w:r w:rsidRPr="00BE3735">
        <w:t xml:space="preserve">The Central Contingency for unforeseen items in 2015/16 is £1.248m.  There have been no formal drawdowns against the contingency, however in view of the currently projected General Fund overspend before the use of contingency it is assumed that the contingency will be </w:t>
      </w:r>
      <w:r>
        <w:t>drawn down by £</w:t>
      </w:r>
      <w:r w:rsidR="00F84EA8">
        <w:t>0.665m</w:t>
      </w:r>
      <w:r>
        <w:t xml:space="preserve"> to balance the General Fund position</w:t>
      </w:r>
      <w:r w:rsidRPr="00BE3735">
        <w:t>.</w:t>
      </w:r>
      <w:r>
        <w:t xml:space="preserve"> </w:t>
      </w:r>
      <w:r w:rsidRPr="00BE3735">
        <w:t xml:space="preserve"> </w:t>
      </w:r>
      <w:r>
        <w:t>This would leave a balance of £</w:t>
      </w:r>
      <w:r w:rsidR="00F84EA8">
        <w:t>0.</w:t>
      </w:r>
      <w:r>
        <w:t>5</w:t>
      </w:r>
      <w:r w:rsidR="00F84EA8">
        <w:t>83m</w:t>
      </w:r>
      <w:r>
        <w:t xml:space="preserve"> in the contingency.</w:t>
      </w:r>
    </w:p>
    <w:p w:rsidR="007A2234" w:rsidRPr="00F84EA8" w:rsidRDefault="007A2234" w:rsidP="00F84EA8">
      <w:pPr>
        <w:ind w:left="360"/>
        <w:rPr>
          <w:b/>
        </w:rPr>
      </w:pPr>
      <w:r w:rsidRPr="00F84EA8">
        <w:rPr>
          <w:b/>
        </w:rPr>
        <w:t>Gas and Electricity Inflation</w:t>
      </w:r>
    </w:p>
    <w:p w:rsidR="007A2234" w:rsidRDefault="007A2234" w:rsidP="00D44E09">
      <w:pPr>
        <w:numPr>
          <w:ilvl w:val="0"/>
          <w:numId w:val="9"/>
        </w:numPr>
        <w:spacing w:after="240"/>
        <w:ind w:hanging="720"/>
      </w:pPr>
      <w:r w:rsidRPr="00BE3735">
        <w:t xml:space="preserve">£350k has been provided against increases in price. There has been no allocation to date but </w:t>
      </w:r>
      <w:r>
        <w:t xml:space="preserve">any </w:t>
      </w:r>
      <w:r w:rsidRPr="00BE3735">
        <w:t xml:space="preserve">call against this provision will not be established </w:t>
      </w:r>
      <w:r>
        <w:t xml:space="preserve">later in the year.  Given the current energy market it is however considered unlikely that the full amount of the provision would be required anyway and </w:t>
      </w:r>
      <w:proofErr w:type="gramStart"/>
      <w:r>
        <w:t>an underspend</w:t>
      </w:r>
      <w:proofErr w:type="gramEnd"/>
      <w:r>
        <w:t xml:space="preserve"> of £200k can be crystallised at this time</w:t>
      </w:r>
      <w:r w:rsidRPr="00BE3735">
        <w:t xml:space="preserve">. </w:t>
      </w:r>
    </w:p>
    <w:p w:rsidR="00741AEB" w:rsidRPr="006B1DE1" w:rsidRDefault="00741AEB" w:rsidP="00F84EA8">
      <w:pPr>
        <w:pStyle w:val="Heading3"/>
        <w:ind w:hanging="294"/>
        <w:rPr>
          <w:i w:val="0"/>
        </w:rPr>
      </w:pPr>
      <w:r w:rsidRPr="006B1DE1">
        <w:rPr>
          <w:i w:val="0"/>
        </w:rPr>
        <w:t>Contingencies and Reserves</w:t>
      </w:r>
    </w:p>
    <w:p w:rsidR="00741AEB" w:rsidRPr="006B1DE1" w:rsidRDefault="00741AEB" w:rsidP="00D44E09">
      <w:pPr>
        <w:numPr>
          <w:ilvl w:val="0"/>
          <w:numId w:val="9"/>
        </w:numPr>
        <w:spacing w:after="240"/>
        <w:ind w:hanging="720"/>
        <w:rPr>
          <w:rFonts w:cs="Arial"/>
        </w:rPr>
      </w:pPr>
      <w:r w:rsidRPr="006B1DE1">
        <w:t>The contingencies are there to cover unavoidable inflation pressures for the pay award and above a standard 1.3% increase on energy together with other unforeseen items and spending pressures and to cover areas of risk and uncertainty.  There are also specific reserves for the implementation costs of the MTFS, carry forwards, Business risks, the Transformation and Priority Initiatives Fund (TPIF).</w:t>
      </w:r>
    </w:p>
    <w:p w:rsidR="00741AEB" w:rsidRPr="006B1DE1" w:rsidRDefault="00741AEB" w:rsidP="00D44E09">
      <w:pPr>
        <w:numPr>
          <w:ilvl w:val="0"/>
          <w:numId w:val="9"/>
        </w:numPr>
        <w:spacing w:after="240"/>
        <w:ind w:hanging="720"/>
        <w:rPr>
          <w:rFonts w:cs="Arial"/>
        </w:rPr>
      </w:pPr>
      <w:r w:rsidRPr="006B1DE1">
        <w:rPr>
          <w:rFonts w:cs="Arial"/>
        </w:rPr>
        <w:t>In June Cabinet approved carry-forwards of £1.598m which are now included within individual directorate budgets. There is also £195k in respect of grants brought forward from earlier years that will be drawn down as utilised. The main grant is Planning Development Grant.</w:t>
      </w:r>
    </w:p>
    <w:p w:rsidR="00741AEB" w:rsidRPr="006B1DE1" w:rsidRDefault="00741AEB" w:rsidP="00D44E09">
      <w:pPr>
        <w:numPr>
          <w:ilvl w:val="0"/>
          <w:numId w:val="9"/>
        </w:numPr>
        <w:spacing w:after="240"/>
        <w:ind w:hanging="720"/>
        <w:rPr>
          <w:rFonts w:cs="Arial"/>
        </w:rPr>
      </w:pPr>
      <w:r w:rsidRPr="006B1DE1">
        <w:rPr>
          <w:rFonts w:cs="Arial"/>
        </w:rPr>
        <w:t xml:space="preserve">The balance on the Transformation and Priority Initiatives Fund (TPIF) brought forward from 2014/15 is £3.819m.  There have been drawdowns of £14k </w:t>
      </w:r>
      <w:r w:rsidR="00D60230">
        <w:rPr>
          <w:rFonts w:cs="Arial"/>
        </w:rPr>
        <w:t xml:space="preserve">in relation to </w:t>
      </w:r>
      <w:r w:rsidRPr="006B1DE1">
        <w:rPr>
          <w:rFonts w:cs="Arial"/>
        </w:rPr>
        <w:t>North Harrow library</w:t>
      </w:r>
      <w:r w:rsidR="001A2C9A">
        <w:rPr>
          <w:rFonts w:cs="Arial"/>
        </w:rPr>
        <w:t xml:space="preserve"> and</w:t>
      </w:r>
      <w:r w:rsidRPr="006B1DE1">
        <w:rPr>
          <w:rFonts w:cs="Arial"/>
        </w:rPr>
        <w:t xml:space="preserve"> </w:t>
      </w:r>
      <w:r w:rsidR="00D60230">
        <w:rPr>
          <w:rFonts w:cs="Arial"/>
        </w:rPr>
        <w:t>£60k in respect of grass verge maintenance</w:t>
      </w:r>
      <w:r w:rsidRPr="006B1DE1">
        <w:rPr>
          <w:rFonts w:cs="Arial"/>
        </w:rPr>
        <w:t>.  This leaves a balance of £3.</w:t>
      </w:r>
      <w:r w:rsidR="00D60230">
        <w:rPr>
          <w:rFonts w:cs="Arial"/>
        </w:rPr>
        <w:t>745</w:t>
      </w:r>
      <w:r w:rsidRPr="006B1DE1">
        <w:rPr>
          <w:rFonts w:cs="Arial"/>
        </w:rPr>
        <w:t xml:space="preserve">m in the fund at Quarter </w:t>
      </w:r>
      <w:r w:rsidR="00D60230">
        <w:rPr>
          <w:rFonts w:cs="Arial"/>
        </w:rPr>
        <w:t>2</w:t>
      </w:r>
      <w:r w:rsidRPr="006B1DE1">
        <w:rPr>
          <w:rFonts w:cs="Arial"/>
        </w:rPr>
        <w:t>.</w:t>
      </w:r>
    </w:p>
    <w:p w:rsidR="00741AEB" w:rsidRPr="006B1DE1" w:rsidRDefault="00741AEB" w:rsidP="00D44E09">
      <w:pPr>
        <w:numPr>
          <w:ilvl w:val="0"/>
          <w:numId w:val="9"/>
        </w:numPr>
        <w:spacing w:after="240"/>
        <w:ind w:hanging="720"/>
        <w:rPr>
          <w:rFonts w:cs="Arial"/>
        </w:rPr>
      </w:pPr>
      <w:r w:rsidRPr="006B1DE1">
        <w:rPr>
          <w:rFonts w:cs="Arial"/>
        </w:rPr>
        <w:t>The balance on the Business Risk reserve brought forward from 2014/15 was £2.109m.  This is intended to cover a number of commercial risks that were identified</w:t>
      </w:r>
      <w:r w:rsidR="005D6791">
        <w:rPr>
          <w:rFonts w:cs="Arial"/>
        </w:rPr>
        <w:t xml:space="preserve">. There has been one drawdown this year of £218k in relation to Waste management costs in relation to West London Waste Authority. This leaves a balance of £1.891m. </w:t>
      </w:r>
    </w:p>
    <w:p w:rsidR="00741AEB" w:rsidRPr="006B1DE1" w:rsidRDefault="00741AEB" w:rsidP="00D44E09">
      <w:pPr>
        <w:numPr>
          <w:ilvl w:val="0"/>
          <w:numId w:val="9"/>
        </w:numPr>
        <w:spacing w:after="240"/>
        <w:ind w:hanging="720"/>
        <w:rPr>
          <w:rFonts w:cs="Arial"/>
        </w:rPr>
      </w:pPr>
      <w:r w:rsidRPr="006B1DE1">
        <w:rPr>
          <w:rFonts w:cs="Arial"/>
        </w:rPr>
        <w:t>The balance on the MTFS Implementation reserve brought forward from 2014/15 was £2.804m. A further £486k was added to the reserve from the in-year savings agreed at July Cabinet, to make £3.290m in total. There have been drawdowns of £</w:t>
      </w:r>
      <w:r w:rsidR="005D6791">
        <w:rPr>
          <w:rFonts w:cs="Arial"/>
        </w:rPr>
        <w:t>0.932m to date leaving a balance of £2.358m.</w:t>
      </w:r>
      <w:r w:rsidRPr="006B1DE1">
        <w:rPr>
          <w:rFonts w:cs="Arial"/>
        </w:rPr>
        <w:t xml:space="preserve">  </w:t>
      </w:r>
    </w:p>
    <w:p w:rsidR="00B125B1" w:rsidRDefault="00741AEB" w:rsidP="00D44E09">
      <w:pPr>
        <w:numPr>
          <w:ilvl w:val="0"/>
          <w:numId w:val="9"/>
        </w:numPr>
        <w:spacing w:after="240"/>
        <w:ind w:hanging="720"/>
        <w:rPr>
          <w:rFonts w:cs="Arial"/>
        </w:rPr>
      </w:pPr>
      <w:r w:rsidRPr="006B1DE1">
        <w:rPr>
          <w:rFonts w:cs="Arial"/>
        </w:rPr>
        <w:t xml:space="preserve">The Standing up for those in need reserve was created at June cabinet with a balance of £0.800m. </w:t>
      </w:r>
      <w:r w:rsidR="00B125B1">
        <w:rPr>
          <w:rFonts w:cs="Arial"/>
        </w:rPr>
        <w:t>No drawdowns have t</w:t>
      </w:r>
      <w:r w:rsidR="00605943">
        <w:rPr>
          <w:rFonts w:cs="Arial"/>
        </w:rPr>
        <w:t>a</w:t>
      </w:r>
      <w:r w:rsidR="00B125B1">
        <w:rPr>
          <w:rFonts w:cs="Arial"/>
        </w:rPr>
        <w:t>ken place to date.</w:t>
      </w:r>
    </w:p>
    <w:p w:rsidR="00741AEB" w:rsidRPr="006B1DE1" w:rsidRDefault="00605943" w:rsidP="00D44E09">
      <w:pPr>
        <w:numPr>
          <w:ilvl w:val="0"/>
          <w:numId w:val="9"/>
        </w:numPr>
        <w:spacing w:after="240"/>
        <w:ind w:hanging="720"/>
        <w:rPr>
          <w:rFonts w:cs="Arial"/>
        </w:rPr>
      </w:pPr>
      <w:r>
        <w:rPr>
          <w:rFonts w:cs="Arial"/>
        </w:rPr>
        <w:t xml:space="preserve">When Cabinet agreed in-year savings in July it agreed </w:t>
      </w:r>
      <w:r w:rsidR="00741AEB" w:rsidRPr="006B1DE1">
        <w:rPr>
          <w:rFonts w:cs="Arial"/>
        </w:rPr>
        <w:t xml:space="preserve">£1m </w:t>
      </w:r>
      <w:r>
        <w:rPr>
          <w:rFonts w:cs="Arial"/>
        </w:rPr>
        <w:t xml:space="preserve">of the savings would be used to create a Homelessness / Welfare Reform </w:t>
      </w:r>
      <w:r>
        <w:rPr>
          <w:rFonts w:cs="Arial"/>
        </w:rPr>
        <w:lastRenderedPageBreak/>
        <w:t xml:space="preserve">reserve. It is proposed in the light of the ongoing pressures on B&amp;B that this reserve is fully utilised to mitigate </w:t>
      </w:r>
      <w:proofErr w:type="gramStart"/>
      <w:r>
        <w:rPr>
          <w:rFonts w:cs="Arial"/>
        </w:rPr>
        <w:t>the overspend</w:t>
      </w:r>
      <w:proofErr w:type="gramEnd"/>
      <w:r>
        <w:rPr>
          <w:rFonts w:cs="Arial"/>
        </w:rPr>
        <w:t xml:space="preserve"> that is occurring. </w:t>
      </w:r>
    </w:p>
    <w:p w:rsidR="00741AEB" w:rsidRPr="006B1DE1" w:rsidRDefault="00741AEB" w:rsidP="00D44E09">
      <w:pPr>
        <w:numPr>
          <w:ilvl w:val="0"/>
          <w:numId w:val="9"/>
        </w:numPr>
        <w:spacing w:after="240"/>
        <w:ind w:hanging="720"/>
        <w:rPr>
          <w:rFonts w:cs="Arial"/>
        </w:rPr>
      </w:pPr>
      <w:r w:rsidRPr="006B1DE1">
        <w:rPr>
          <w:rFonts w:cs="Arial"/>
        </w:rPr>
        <w:t>The Rapid Response reserve was created in June as part of the outturn report with a balance of £75k. There have been no drawdowns so far.</w:t>
      </w:r>
    </w:p>
    <w:p w:rsidR="00741AEB" w:rsidRPr="006B1DE1" w:rsidRDefault="00741AEB" w:rsidP="00D44E09">
      <w:pPr>
        <w:numPr>
          <w:ilvl w:val="0"/>
          <w:numId w:val="9"/>
        </w:numPr>
        <w:spacing w:after="240"/>
        <w:ind w:hanging="720"/>
        <w:rPr>
          <w:rFonts w:cs="Arial"/>
        </w:rPr>
      </w:pPr>
      <w:r w:rsidRPr="006B1DE1">
        <w:rPr>
          <w:rFonts w:cs="Arial"/>
        </w:rPr>
        <w:t xml:space="preserve">The commercialisation reserve was created from the in-year savings approved at July cabinet with a balance of £1m. There have been </w:t>
      </w:r>
      <w:r w:rsidR="00745CEB">
        <w:rPr>
          <w:rFonts w:cs="Arial"/>
        </w:rPr>
        <w:t>drawdowns of £</w:t>
      </w:r>
      <w:r w:rsidR="005D7C56">
        <w:rPr>
          <w:rFonts w:cs="Arial"/>
        </w:rPr>
        <w:t>38</w:t>
      </w:r>
      <w:r w:rsidR="00745CEB">
        <w:rPr>
          <w:rFonts w:cs="Arial"/>
        </w:rPr>
        <w:t>9k to date, leaving a balance of £0.</w:t>
      </w:r>
      <w:r w:rsidR="005D7C56">
        <w:rPr>
          <w:rFonts w:cs="Arial"/>
        </w:rPr>
        <w:t>611</w:t>
      </w:r>
      <w:r w:rsidR="00745CEB">
        <w:rPr>
          <w:rFonts w:cs="Arial"/>
        </w:rPr>
        <w:t>m</w:t>
      </w:r>
      <w:r w:rsidR="00966A35">
        <w:rPr>
          <w:rFonts w:cs="Arial"/>
        </w:rPr>
        <w:t>. Anticipated savings of £5m on commercialisation projects within the council have been identified so far.</w:t>
      </w:r>
    </w:p>
    <w:p w:rsidR="00741AEB" w:rsidRPr="006B1DE1" w:rsidRDefault="00741AEB" w:rsidP="00741AEB">
      <w:pPr>
        <w:spacing w:after="240"/>
        <w:jc w:val="both"/>
        <w:rPr>
          <w:b/>
          <w:u w:val="single"/>
        </w:rPr>
      </w:pPr>
      <w:r w:rsidRPr="006B1DE1">
        <w:rPr>
          <w:b/>
          <w:u w:val="single"/>
        </w:rPr>
        <w:t>Table 4 Contingencies and Earmarked Reserves</w:t>
      </w:r>
    </w:p>
    <w:p w:rsidR="00741AEB" w:rsidRPr="006B1DE1" w:rsidRDefault="005D7C56" w:rsidP="00AB4C90">
      <w:pPr>
        <w:spacing w:after="240"/>
        <w:ind w:left="-709"/>
        <w:jc w:val="both"/>
        <w:rPr>
          <w:b/>
          <w:u w:val="single"/>
        </w:rPr>
      </w:pPr>
      <w:r w:rsidRPr="005D7C56">
        <w:rPr>
          <w:noProof/>
          <w:lang w:eastAsia="en-GB"/>
        </w:rPr>
        <w:drawing>
          <wp:inline distT="0" distB="0" distL="0" distR="0" wp14:anchorId="0AA9E894" wp14:editId="334C2A97">
            <wp:extent cx="5924162" cy="2152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461" cy="2155666"/>
                    </a:xfrm>
                    <a:prstGeom prst="rect">
                      <a:avLst/>
                    </a:prstGeom>
                    <a:noFill/>
                    <a:ln>
                      <a:noFill/>
                    </a:ln>
                  </pic:spPr>
                </pic:pic>
              </a:graphicData>
            </a:graphic>
          </wp:inline>
        </w:drawing>
      </w:r>
    </w:p>
    <w:p w:rsidR="00741AEB" w:rsidRPr="006B1DE1" w:rsidRDefault="00741AEB" w:rsidP="00741AEB">
      <w:pPr>
        <w:spacing w:after="120"/>
        <w:ind w:right="489"/>
        <w:jc w:val="both"/>
        <w:rPr>
          <w:rFonts w:cs="Arial"/>
          <w:b/>
          <w:iCs/>
        </w:rPr>
      </w:pPr>
      <w:r w:rsidRPr="006B1DE1">
        <w:rPr>
          <w:rFonts w:cs="Arial"/>
          <w:b/>
          <w:iCs/>
        </w:rPr>
        <w:t>Reserves and Provisions</w:t>
      </w:r>
    </w:p>
    <w:p w:rsidR="00741AEB" w:rsidRPr="006B1DE1" w:rsidRDefault="00741AEB" w:rsidP="00D44E09">
      <w:pPr>
        <w:numPr>
          <w:ilvl w:val="0"/>
          <w:numId w:val="9"/>
        </w:numPr>
        <w:spacing w:after="240"/>
        <w:ind w:hanging="720"/>
        <w:rPr>
          <w:szCs w:val="24"/>
        </w:rPr>
      </w:pPr>
      <w:r w:rsidRPr="006B1DE1">
        <w:t xml:space="preserve">The Council must hold adequate provisions and reserve balances to cover known and anticipated events and in respect of its statutory duties as appropriate. </w:t>
      </w:r>
      <w:r w:rsidRPr="006B1DE1">
        <w:rPr>
          <w:rFonts w:cs="Arial"/>
        </w:rPr>
        <w:t xml:space="preserve">General non earmarked balances stand at £10m.  </w:t>
      </w:r>
      <w:r w:rsidRPr="006B1DE1">
        <w:t xml:space="preserve">All the provisions are reviewed on a quarterly basis.  As at Quarter </w:t>
      </w:r>
      <w:r w:rsidR="0031019C">
        <w:t>2</w:t>
      </w:r>
      <w:r w:rsidRPr="006B1DE1">
        <w:t xml:space="preserve"> the Council has adequate provisions in respect of Insurance, Litigation and Employment cases.</w:t>
      </w:r>
    </w:p>
    <w:p w:rsidR="00741AEB" w:rsidRPr="006B1DE1" w:rsidRDefault="00741AEB" w:rsidP="00741AEB">
      <w:pPr>
        <w:spacing w:after="120"/>
        <w:ind w:right="489"/>
        <w:jc w:val="both"/>
        <w:rPr>
          <w:rFonts w:cs="Arial"/>
          <w:b/>
          <w:iCs/>
        </w:rPr>
      </w:pPr>
      <w:r w:rsidRPr="006B1DE1">
        <w:rPr>
          <w:rFonts w:cs="Arial"/>
          <w:b/>
          <w:iCs/>
        </w:rPr>
        <w:t>Debt Management</w:t>
      </w:r>
    </w:p>
    <w:p w:rsidR="00741AEB" w:rsidRPr="006B1DE1" w:rsidRDefault="00741AEB" w:rsidP="00D44E09">
      <w:pPr>
        <w:numPr>
          <w:ilvl w:val="0"/>
          <w:numId w:val="9"/>
        </w:numPr>
        <w:spacing w:after="240"/>
        <w:ind w:hanging="720"/>
        <w:rPr>
          <w:rFonts w:cs="Arial"/>
        </w:rPr>
      </w:pPr>
      <w:r w:rsidRPr="006B1DE1">
        <w:rPr>
          <w:rFonts w:cs="Arial"/>
        </w:rPr>
        <w:t>The latest position on Council Tax, Business Rates and Housing Benefits bad debts provisions is included within Appendix 3.</w:t>
      </w:r>
    </w:p>
    <w:p w:rsidR="00741AEB" w:rsidRPr="006B1DE1" w:rsidRDefault="00741AEB" w:rsidP="00741AEB">
      <w:pPr>
        <w:ind w:right="489"/>
        <w:jc w:val="both"/>
        <w:rPr>
          <w:rFonts w:cs="Arial"/>
          <w:b/>
          <w:u w:val="single"/>
        </w:rPr>
      </w:pPr>
      <w:r w:rsidRPr="006B1DE1">
        <w:rPr>
          <w:rFonts w:cs="Arial"/>
          <w:b/>
          <w:u w:val="single"/>
        </w:rPr>
        <w:t>MTFS IMPLEMENTATION TRACKER</w:t>
      </w:r>
    </w:p>
    <w:p w:rsidR="00741AEB" w:rsidRPr="006B1DE1" w:rsidRDefault="00741AEB" w:rsidP="00D44E09">
      <w:pPr>
        <w:numPr>
          <w:ilvl w:val="0"/>
          <w:numId w:val="9"/>
        </w:numPr>
        <w:spacing w:after="240"/>
        <w:ind w:hanging="720"/>
        <w:rPr>
          <w:rFonts w:cs="Arial"/>
        </w:rPr>
      </w:pPr>
      <w:r w:rsidRPr="006B1DE1">
        <w:t xml:space="preserve">The 2015/16 budget includes approved MTFS savings of £18.720m.  The progress on implementation is summarised below in table 5 below and shown in more detail in Appendix 2: </w:t>
      </w:r>
    </w:p>
    <w:p w:rsidR="00741AEB" w:rsidRPr="006B1DE1" w:rsidRDefault="00741AEB" w:rsidP="00741AEB">
      <w:pPr>
        <w:rPr>
          <w:rFonts w:cs="Arial"/>
          <w:b/>
          <w:szCs w:val="24"/>
          <w:u w:val="single"/>
        </w:rPr>
      </w:pPr>
    </w:p>
    <w:p w:rsidR="004B1F90" w:rsidRDefault="004B1F90">
      <w:pPr>
        <w:rPr>
          <w:rFonts w:cs="Arial"/>
          <w:b/>
          <w:szCs w:val="24"/>
          <w:u w:val="single"/>
        </w:rPr>
      </w:pPr>
      <w:r>
        <w:rPr>
          <w:rFonts w:cs="Arial"/>
          <w:b/>
          <w:szCs w:val="24"/>
          <w:u w:val="single"/>
        </w:rPr>
        <w:br w:type="page"/>
      </w:r>
    </w:p>
    <w:p w:rsidR="00741AEB" w:rsidRPr="006B1DE1" w:rsidRDefault="00741AEB" w:rsidP="00741AEB">
      <w:pPr>
        <w:rPr>
          <w:rFonts w:cs="Arial"/>
          <w:b/>
          <w:szCs w:val="24"/>
          <w:u w:val="single"/>
        </w:rPr>
      </w:pPr>
      <w:r w:rsidRPr="006B1DE1">
        <w:rPr>
          <w:rFonts w:cs="Arial"/>
          <w:b/>
          <w:szCs w:val="24"/>
          <w:u w:val="single"/>
        </w:rPr>
        <w:lastRenderedPageBreak/>
        <w:t xml:space="preserve">Table 5 </w:t>
      </w:r>
      <w:proofErr w:type="gramStart"/>
      <w:r w:rsidRPr="006B1DE1">
        <w:rPr>
          <w:rFonts w:cs="Arial"/>
          <w:b/>
          <w:szCs w:val="24"/>
          <w:u w:val="single"/>
        </w:rPr>
        <w:t>RAG</w:t>
      </w:r>
      <w:proofErr w:type="gramEnd"/>
      <w:r w:rsidRPr="006B1DE1">
        <w:rPr>
          <w:rFonts w:cs="Arial"/>
          <w:b/>
          <w:szCs w:val="24"/>
          <w:u w:val="single"/>
        </w:rPr>
        <w:t xml:space="preserve"> Rating of 2015/16 Savings</w:t>
      </w:r>
    </w:p>
    <w:tbl>
      <w:tblPr>
        <w:tblW w:w="7415" w:type="dxa"/>
        <w:tblInd w:w="93" w:type="dxa"/>
        <w:tblLook w:val="04A0" w:firstRow="1" w:lastRow="0" w:firstColumn="1" w:lastColumn="0" w:noHBand="0" w:noVBand="1"/>
      </w:tblPr>
      <w:tblGrid>
        <w:gridCol w:w="692"/>
        <w:gridCol w:w="981"/>
        <w:gridCol w:w="1026"/>
        <w:gridCol w:w="784"/>
        <w:gridCol w:w="1177"/>
        <w:gridCol w:w="866"/>
        <w:gridCol w:w="1124"/>
        <w:gridCol w:w="765"/>
      </w:tblGrid>
      <w:tr w:rsidR="002C672F" w:rsidRPr="002C672F" w:rsidTr="002C672F">
        <w:trPr>
          <w:trHeight w:val="450"/>
        </w:trPr>
        <w:tc>
          <w:tcPr>
            <w:tcW w:w="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Resources</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Community</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People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Regeneration</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Business Support</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Pan Organisation</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Total</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1026"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784"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1177"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866"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1124"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c>
          <w:tcPr>
            <w:tcW w:w="765"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center"/>
              <w:rPr>
                <w:rFonts w:cs="Arial"/>
                <w:sz w:val="16"/>
                <w:szCs w:val="16"/>
                <w:lang w:eastAsia="en-GB"/>
              </w:rPr>
            </w:pPr>
            <w:r w:rsidRPr="002C672F">
              <w:rPr>
                <w:rFonts w:cs="Arial"/>
                <w:sz w:val="16"/>
                <w:szCs w:val="16"/>
                <w:lang w:eastAsia="en-GB"/>
              </w:rPr>
              <w:t>£000</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000000" w:fill="FF99CC"/>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Red</w:t>
            </w:r>
          </w:p>
        </w:tc>
        <w:tc>
          <w:tcPr>
            <w:tcW w:w="981"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50</w:t>
            </w:r>
          </w:p>
        </w:tc>
        <w:tc>
          <w:tcPr>
            <w:tcW w:w="1026"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485</w:t>
            </w:r>
          </w:p>
        </w:tc>
        <w:tc>
          <w:tcPr>
            <w:tcW w:w="784"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1177"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866"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1124"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FF99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535</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000000" w:fill="FFCC99"/>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Amber</w:t>
            </w:r>
          </w:p>
        </w:tc>
        <w:tc>
          <w:tcPr>
            <w:tcW w:w="981"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166</w:t>
            </w:r>
          </w:p>
        </w:tc>
        <w:tc>
          <w:tcPr>
            <w:tcW w:w="1026"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2,243</w:t>
            </w:r>
          </w:p>
        </w:tc>
        <w:tc>
          <w:tcPr>
            <w:tcW w:w="784"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2,291</w:t>
            </w:r>
          </w:p>
        </w:tc>
        <w:tc>
          <w:tcPr>
            <w:tcW w:w="1177"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866"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820</w:t>
            </w:r>
          </w:p>
        </w:tc>
        <w:tc>
          <w:tcPr>
            <w:tcW w:w="1124"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FFCC99"/>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5,520</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000000" w:fill="CCFFCC"/>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Green</w:t>
            </w:r>
          </w:p>
        </w:tc>
        <w:tc>
          <w:tcPr>
            <w:tcW w:w="981"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1,395</w:t>
            </w:r>
          </w:p>
        </w:tc>
        <w:tc>
          <w:tcPr>
            <w:tcW w:w="1026"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779</w:t>
            </w:r>
          </w:p>
        </w:tc>
        <w:tc>
          <w:tcPr>
            <w:tcW w:w="784"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3,047</w:t>
            </w:r>
          </w:p>
        </w:tc>
        <w:tc>
          <w:tcPr>
            <w:tcW w:w="1177"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50</w:t>
            </w:r>
          </w:p>
        </w:tc>
        <w:tc>
          <w:tcPr>
            <w:tcW w:w="866"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1124"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765" w:type="dxa"/>
            <w:tcBorders>
              <w:top w:val="nil"/>
              <w:left w:val="nil"/>
              <w:bottom w:val="single" w:sz="4" w:space="0" w:color="auto"/>
              <w:right w:val="single" w:sz="4" w:space="0" w:color="auto"/>
            </w:tcBorders>
            <w:shd w:val="clear" w:color="000000" w:fill="CCFFCC"/>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5,271</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000000" w:fill="95B3D7"/>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Blue</w:t>
            </w:r>
          </w:p>
        </w:tc>
        <w:tc>
          <w:tcPr>
            <w:tcW w:w="981"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2,582</w:t>
            </w:r>
          </w:p>
        </w:tc>
        <w:tc>
          <w:tcPr>
            <w:tcW w:w="1026"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2,214</w:t>
            </w:r>
          </w:p>
        </w:tc>
        <w:tc>
          <w:tcPr>
            <w:tcW w:w="784"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1,099</w:t>
            </w:r>
          </w:p>
        </w:tc>
        <w:tc>
          <w:tcPr>
            <w:tcW w:w="1177"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866"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0</w:t>
            </w:r>
          </w:p>
        </w:tc>
        <w:tc>
          <w:tcPr>
            <w:tcW w:w="1124"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1,500</w:t>
            </w:r>
          </w:p>
        </w:tc>
        <w:tc>
          <w:tcPr>
            <w:tcW w:w="765" w:type="dxa"/>
            <w:tcBorders>
              <w:top w:val="nil"/>
              <w:left w:val="nil"/>
              <w:bottom w:val="single" w:sz="4" w:space="0" w:color="auto"/>
              <w:right w:val="single" w:sz="4" w:space="0" w:color="auto"/>
            </w:tcBorders>
            <w:shd w:val="clear" w:color="000000" w:fill="95B3D7"/>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7,394</w:t>
            </w:r>
          </w:p>
        </w:tc>
      </w:tr>
      <w:tr w:rsidR="002C672F" w:rsidRPr="002C672F" w:rsidTr="002C672F">
        <w:trPr>
          <w:trHeight w:val="2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2C672F" w:rsidRPr="002C672F" w:rsidRDefault="002C672F" w:rsidP="002C672F">
            <w:pPr>
              <w:rPr>
                <w:rFonts w:cs="Arial"/>
                <w:sz w:val="16"/>
                <w:szCs w:val="16"/>
                <w:lang w:eastAsia="en-GB"/>
              </w:rPr>
            </w:pPr>
            <w:r w:rsidRPr="002C672F">
              <w:rPr>
                <w:rFonts w:cs="Arial"/>
                <w:sz w:val="16"/>
                <w:szCs w:val="16"/>
                <w:lang w:eastAsia="en-GB"/>
              </w:rPr>
              <w:t>Total</w:t>
            </w:r>
          </w:p>
        </w:tc>
        <w:tc>
          <w:tcPr>
            <w:tcW w:w="981"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4,193</w:t>
            </w:r>
          </w:p>
        </w:tc>
        <w:tc>
          <w:tcPr>
            <w:tcW w:w="1026"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5,721</w:t>
            </w:r>
          </w:p>
        </w:tc>
        <w:tc>
          <w:tcPr>
            <w:tcW w:w="784"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6,437</w:t>
            </w:r>
          </w:p>
        </w:tc>
        <w:tc>
          <w:tcPr>
            <w:tcW w:w="1177"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50</w:t>
            </w:r>
          </w:p>
        </w:tc>
        <w:tc>
          <w:tcPr>
            <w:tcW w:w="866"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820</w:t>
            </w:r>
          </w:p>
        </w:tc>
        <w:tc>
          <w:tcPr>
            <w:tcW w:w="1124"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1,500</w:t>
            </w:r>
          </w:p>
        </w:tc>
        <w:tc>
          <w:tcPr>
            <w:tcW w:w="765" w:type="dxa"/>
            <w:tcBorders>
              <w:top w:val="nil"/>
              <w:left w:val="nil"/>
              <w:bottom w:val="single" w:sz="4" w:space="0" w:color="auto"/>
              <w:right w:val="single" w:sz="4" w:space="0" w:color="auto"/>
            </w:tcBorders>
            <w:shd w:val="clear" w:color="auto" w:fill="auto"/>
            <w:noWrap/>
            <w:vAlign w:val="bottom"/>
            <w:hideMark/>
          </w:tcPr>
          <w:p w:rsidR="002C672F" w:rsidRPr="002C672F" w:rsidRDefault="002C672F" w:rsidP="002C672F">
            <w:pPr>
              <w:jc w:val="right"/>
              <w:rPr>
                <w:rFonts w:cs="Arial"/>
                <w:sz w:val="16"/>
                <w:szCs w:val="16"/>
                <w:lang w:eastAsia="en-GB"/>
              </w:rPr>
            </w:pPr>
            <w:r w:rsidRPr="002C672F">
              <w:rPr>
                <w:rFonts w:cs="Arial"/>
                <w:sz w:val="16"/>
                <w:szCs w:val="16"/>
                <w:lang w:eastAsia="en-GB"/>
              </w:rPr>
              <w:t>18,720</w:t>
            </w:r>
          </w:p>
        </w:tc>
      </w:tr>
    </w:tbl>
    <w:p w:rsidR="002C672F" w:rsidRPr="002C672F" w:rsidRDefault="002C672F" w:rsidP="002C672F"/>
    <w:p w:rsidR="00741AEB" w:rsidRPr="006B1DE1" w:rsidRDefault="00741AEB" w:rsidP="00741AEB">
      <w:pPr>
        <w:pStyle w:val="Heading2"/>
        <w:rPr>
          <w:u w:val="single"/>
        </w:rPr>
      </w:pPr>
      <w:r w:rsidRPr="006B1DE1">
        <w:rPr>
          <w:u w:val="single"/>
        </w:rPr>
        <w:t>CAPITAL PROGRAMME</w:t>
      </w:r>
    </w:p>
    <w:p w:rsidR="00741AEB" w:rsidRPr="006B1DE1" w:rsidRDefault="00741AEB" w:rsidP="00741AEB">
      <w:pPr>
        <w:keepNext/>
        <w:outlineLvl w:val="1"/>
        <w:rPr>
          <w:rFonts w:cs="Arial"/>
          <w:b/>
          <w:bCs/>
          <w:kern w:val="32"/>
          <w:szCs w:val="32"/>
          <w:u w:val="single"/>
        </w:rPr>
      </w:pPr>
      <w:bookmarkStart w:id="6" w:name="_Toc372706236"/>
    </w:p>
    <w:p w:rsidR="00741AEB" w:rsidRPr="006B1DE1" w:rsidRDefault="00741AEB" w:rsidP="00741AEB">
      <w:pPr>
        <w:spacing w:after="240"/>
        <w:rPr>
          <w:b/>
          <w:u w:val="single"/>
        </w:rPr>
      </w:pPr>
      <w:r w:rsidRPr="006B1DE1">
        <w:rPr>
          <w:rFonts w:cs="Arial"/>
          <w:b/>
          <w:u w:val="single"/>
        </w:rPr>
        <w:t xml:space="preserve">Capital Programme Forecast at Quarter </w:t>
      </w:r>
      <w:r w:rsidR="00C52CAA">
        <w:rPr>
          <w:rFonts w:cs="Arial"/>
          <w:b/>
          <w:u w:val="single"/>
        </w:rPr>
        <w:t>2</w:t>
      </w:r>
    </w:p>
    <w:p w:rsidR="00741AEB" w:rsidRPr="006B1DE1" w:rsidRDefault="00741AEB" w:rsidP="00D44E09">
      <w:pPr>
        <w:numPr>
          <w:ilvl w:val="0"/>
          <w:numId w:val="9"/>
        </w:numPr>
        <w:spacing w:after="240"/>
        <w:ind w:hanging="720"/>
      </w:pPr>
      <w:r w:rsidRPr="006B1DE1">
        <w:t xml:space="preserve">The 2015/16 capital programme agreed by Council in February 2015 totalled £88.911m.  Adjusted for slippage at the 2014/15 outturn </w:t>
      </w:r>
      <w:r w:rsidR="00D57782">
        <w:t xml:space="preserve">and other approved addition to </w:t>
      </w:r>
      <w:r w:rsidRPr="006B1DE1">
        <w:t>the programme now totals £1</w:t>
      </w:r>
      <w:r w:rsidR="00A00952">
        <w:t>57.587m at Quarter 2</w:t>
      </w:r>
      <w:r w:rsidRPr="006B1DE1">
        <w:t xml:space="preserve">. </w:t>
      </w:r>
    </w:p>
    <w:p w:rsidR="00660E65" w:rsidRDefault="00660E65" w:rsidP="00D44E09">
      <w:pPr>
        <w:numPr>
          <w:ilvl w:val="0"/>
          <w:numId w:val="9"/>
        </w:numPr>
        <w:spacing w:after="240"/>
        <w:ind w:hanging="720"/>
      </w:pPr>
      <w:r>
        <w:t>The forecast at Quarter 2 is £11</w:t>
      </w:r>
      <w:r w:rsidR="00250C20">
        <w:t>8</w:t>
      </w:r>
      <w:r>
        <w:t>.</w:t>
      </w:r>
      <w:r w:rsidR="00250C20">
        <w:t>9</w:t>
      </w:r>
      <w:r w:rsidR="00C736CB">
        <w:t>96</w:t>
      </w:r>
      <w:r>
        <w:t>m, 7</w:t>
      </w:r>
      <w:r w:rsidR="00C736CB">
        <w:t>6</w:t>
      </w:r>
      <w:r>
        <w:t xml:space="preserve">% of the total capital programme, a reduction of </w:t>
      </w:r>
      <w:r w:rsidR="00C736CB">
        <w:t>7</w:t>
      </w:r>
      <w:r>
        <w:t>% when compared with Quarter 1. This will continue to be monitored closely</w:t>
      </w:r>
      <w:r w:rsidR="00455115">
        <w:t>.</w:t>
      </w:r>
      <w:r w:rsidRPr="006B1DE1">
        <w:t xml:space="preserve"> </w:t>
      </w:r>
    </w:p>
    <w:p w:rsidR="00741AEB" w:rsidRPr="006B1DE1" w:rsidRDefault="00741AEB" w:rsidP="00D44E09">
      <w:pPr>
        <w:numPr>
          <w:ilvl w:val="0"/>
          <w:numId w:val="9"/>
        </w:numPr>
        <w:spacing w:after="240"/>
        <w:ind w:hanging="720"/>
      </w:pPr>
      <w:r w:rsidRPr="006B1DE1">
        <w:t xml:space="preserve">The forecast variance on General </w:t>
      </w:r>
      <w:r w:rsidR="0041077E">
        <w:t>F</w:t>
      </w:r>
      <w:r w:rsidR="00D57782">
        <w:t xml:space="preserve">und at Quarter 2 </w:t>
      </w:r>
      <w:r w:rsidRPr="006B1DE1">
        <w:t xml:space="preserve">is </w:t>
      </w:r>
      <w:proofErr w:type="gramStart"/>
      <w:r w:rsidR="00CE2818">
        <w:t>an underspend</w:t>
      </w:r>
      <w:proofErr w:type="gramEnd"/>
      <w:r w:rsidR="00CE2818">
        <w:t xml:space="preserve"> of </w:t>
      </w:r>
      <w:r w:rsidRPr="006B1DE1">
        <w:t>£</w:t>
      </w:r>
      <w:r w:rsidR="00A00952">
        <w:t>27.358</w:t>
      </w:r>
      <w:r w:rsidR="00660E65">
        <w:t>m</w:t>
      </w:r>
      <w:r w:rsidR="00CE2818">
        <w:t xml:space="preserve"> (21.4%).</w:t>
      </w:r>
      <w:r w:rsidR="00660E65">
        <w:t xml:space="preserve"> </w:t>
      </w:r>
      <w:r w:rsidR="00455115">
        <w:t xml:space="preserve">The </w:t>
      </w:r>
      <w:r w:rsidR="00660E65">
        <w:t xml:space="preserve"> forecast </w:t>
      </w:r>
      <w:r w:rsidR="00C736CB">
        <w:t>underspend</w:t>
      </w:r>
      <w:r w:rsidR="00660E65">
        <w:t xml:space="preserve"> </w:t>
      </w:r>
      <w:r w:rsidRPr="006B1DE1">
        <w:t xml:space="preserve"> compris</w:t>
      </w:r>
      <w:r w:rsidR="00C736CB">
        <w:t>es</w:t>
      </w:r>
      <w:r w:rsidRPr="006B1DE1">
        <w:t xml:space="preserve"> of slippage of £</w:t>
      </w:r>
      <w:r w:rsidR="00D57782">
        <w:t>25.</w:t>
      </w:r>
      <w:r w:rsidR="009D4C10">
        <w:t>700</w:t>
      </w:r>
      <w:r w:rsidRPr="006B1DE1">
        <w:t xml:space="preserve"> and underspends of £</w:t>
      </w:r>
      <w:r w:rsidR="009D4C10">
        <w:t>1.658</w:t>
      </w:r>
      <w:r w:rsidR="00A00952">
        <w:t>m</w:t>
      </w:r>
    </w:p>
    <w:p w:rsidR="00741AEB" w:rsidRPr="006B1DE1" w:rsidRDefault="00741AEB" w:rsidP="00D44E09">
      <w:pPr>
        <w:numPr>
          <w:ilvl w:val="0"/>
          <w:numId w:val="9"/>
        </w:numPr>
        <w:spacing w:after="240"/>
        <w:ind w:hanging="720"/>
      </w:pPr>
      <w:r w:rsidRPr="006B1DE1">
        <w:t>The forecast variance on the HRA is £</w:t>
      </w:r>
      <w:r w:rsidR="00A00952">
        <w:t>1</w:t>
      </w:r>
      <w:r w:rsidR="009D4C10">
        <w:t>1.233</w:t>
      </w:r>
      <w:r w:rsidR="003D6C5E">
        <w:t>m</w:t>
      </w:r>
      <w:r w:rsidRPr="006B1DE1">
        <w:t>,</w:t>
      </w:r>
      <w:r w:rsidR="002700B2">
        <w:t xml:space="preserve"> comprising of slippage of £1</w:t>
      </w:r>
      <w:r w:rsidR="003B7581">
        <w:t>0</w:t>
      </w:r>
      <w:r w:rsidR="009D4C10">
        <w:t>.635</w:t>
      </w:r>
      <w:r w:rsidR="002700B2">
        <w:t>m and underspends of £</w:t>
      </w:r>
      <w:r w:rsidR="003D6C5E">
        <w:t>0.</w:t>
      </w:r>
      <w:r w:rsidR="002700B2">
        <w:t>598</w:t>
      </w:r>
      <w:r w:rsidR="003D6C5E">
        <w:t>m</w:t>
      </w:r>
      <w:r w:rsidRPr="006B1DE1">
        <w:t>.</w:t>
      </w:r>
    </w:p>
    <w:p w:rsidR="00741AEB" w:rsidRDefault="00741AEB" w:rsidP="00D44E09">
      <w:pPr>
        <w:numPr>
          <w:ilvl w:val="0"/>
          <w:numId w:val="9"/>
        </w:numPr>
        <w:spacing w:after="240"/>
        <w:ind w:hanging="720"/>
      </w:pPr>
      <w:r w:rsidRPr="006B1DE1">
        <w:t xml:space="preserve">Tables 5 and 6 below summarise the capital forecast position and Appendix 4 shows the capital programme in more detail:   </w:t>
      </w:r>
    </w:p>
    <w:p w:rsidR="004122E8" w:rsidRPr="006B1DE1" w:rsidRDefault="004122E8" w:rsidP="00D44E09">
      <w:pPr>
        <w:pStyle w:val="ListParagraph"/>
        <w:spacing w:after="240"/>
      </w:pPr>
    </w:p>
    <w:p w:rsidR="00741AEB" w:rsidRPr="006B1DE1" w:rsidRDefault="00741AEB" w:rsidP="00741AEB">
      <w:pPr>
        <w:spacing w:after="240"/>
        <w:rPr>
          <w:b/>
          <w:u w:val="single"/>
        </w:rPr>
      </w:pPr>
      <w:r w:rsidRPr="006B1DE1">
        <w:rPr>
          <w:b/>
          <w:u w:val="single"/>
        </w:rPr>
        <w:t>Table 5 Summary of forecast by directorate</w:t>
      </w:r>
    </w:p>
    <w:p w:rsidR="00741AEB" w:rsidRPr="006B1DE1" w:rsidRDefault="009D4C10" w:rsidP="00741AEB">
      <w:pPr>
        <w:spacing w:after="240"/>
        <w:rPr>
          <w:b/>
          <w:u w:val="single"/>
        </w:rPr>
      </w:pPr>
      <w:r w:rsidRPr="00E666E5">
        <w:rPr>
          <w:noProof/>
          <w:lang w:eastAsia="en-GB"/>
        </w:rPr>
        <w:drawing>
          <wp:inline distT="0" distB="0" distL="0" distR="0" wp14:anchorId="53EFEBEC" wp14:editId="363AA077">
            <wp:extent cx="5276215" cy="25190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2519026"/>
                    </a:xfrm>
                    <a:prstGeom prst="rect">
                      <a:avLst/>
                    </a:prstGeom>
                    <a:noFill/>
                    <a:ln>
                      <a:noFill/>
                    </a:ln>
                  </pic:spPr>
                </pic:pic>
              </a:graphicData>
            </a:graphic>
          </wp:inline>
        </w:drawing>
      </w:r>
    </w:p>
    <w:p w:rsidR="007B21A2" w:rsidRPr="002D407C" w:rsidRDefault="007B21A2">
      <w:pPr>
        <w:rPr>
          <w:u w:val="single"/>
        </w:rPr>
      </w:pPr>
    </w:p>
    <w:p w:rsidR="00A00952" w:rsidRDefault="00A00952" w:rsidP="00741AEB">
      <w:pPr>
        <w:spacing w:after="240"/>
        <w:rPr>
          <w:b/>
          <w:u w:val="single"/>
        </w:rPr>
      </w:pPr>
    </w:p>
    <w:p w:rsidR="004122E8" w:rsidRDefault="004122E8" w:rsidP="00741AEB">
      <w:pPr>
        <w:spacing w:after="240"/>
        <w:rPr>
          <w:b/>
          <w:u w:val="single"/>
        </w:rPr>
      </w:pPr>
    </w:p>
    <w:p w:rsidR="00A00952" w:rsidRDefault="00A00952" w:rsidP="00741AEB">
      <w:pPr>
        <w:spacing w:after="240"/>
        <w:rPr>
          <w:b/>
          <w:u w:val="single"/>
        </w:rPr>
      </w:pPr>
    </w:p>
    <w:p w:rsidR="00A00952" w:rsidRDefault="00A00952" w:rsidP="00741AEB">
      <w:pPr>
        <w:spacing w:after="240"/>
        <w:rPr>
          <w:b/>
          <w:u w:val="single"/>
        </w:rPr>
      </w:pPr>
    </w:p>
    <w:p w:rsidR="00741AEB" w:rsidRDefault="00741AEB" w:rsidP="00741AEB">
      <w:pPr>
        <w:spacing w:after="240"/>
        <w:rPr>
          <w:b/>
          <w:u w:val="single"/>
        </w:rPr>
      </w:pPr>
      <w:r w:rsidRPr="006B1DE1">
        <w:rPr>
          <w:b/>
          <w:u w:val="single"/>
        </w:rPr>
        <w:t xml:space="preserve">Table 6 Analysis of </w:t>
      </w:r>
      <w:r w:rsidR="00C52CAA">
        <w:rPr>
          <w:b/>
          <w:u w:val="single"/>
        </w:rPr>
        <w:t xml:space="preserve">Forecast </w:t>
      </w:r>
      <w:r w:rsidRPr="006B1DE1">
        <w:rPr>
          <w:b/>
          <w:u w:val="single"/>
        </w:rPr>
        <w:t xml:space="preserve">Outturn variance </w:t>
      </w:r>
    </w:p>
    <w:p w:rsidR="00097294" w:rsidRPr="006B1DE1" w:rsidRDefault="008E4AE1" w:rsidP="00741AEB">
      <w:pPr>
        <w:spacing w:after="240"/>
        <w:rPr>
          <w:b/>
          <w:u w:val="single"/>
        </w:rPr>
      </w:pPr>
      <w:r w:rsidRPr="008E4AE1">
        <w:rPr>
          <w:noProof/>
          <w:lang w:eastAsia="en-GB"/>
        </w:rPr>
        <w:drawing>
          <wp:inline distT="0" distB="0" distL="0" distR="0" wp14:anchorId="5D775F3D" wp14:editId="478D856B">
            <wp:extent cx="5276215" cy="206491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2064915"/>
                    </a:xfrm>
                    <a:prstGeom prst="rect">
                      <a:avLst/>
                    </a:prstGeom>
                    <a:noFill/>
                    <a:ln>
                      <a:noFill/>
                    </a:ln>
                  </pic:spPr>
                </pic:pic>
              </a:graphicData>
            </a:graphic>
          </wp:inline>
        </w:drawing>
      </w:r>
    </w:p>
    <w:p w:rsidR="00A00952" w:rsidRDefault="00A00952" w:rsidP="00E45D9C">
      <w:pPr>
        <w:keepNext/>
        <w:spacing w:before="240" w:after="120"/>
        <w:outlineLvl w:val="2"/>
        <w:rPr>
          <w:rFonts w:cs="Arial"/>
          <w:b/>
          <w:bCs/>
          <w:szCs w:val="26"/>
        </w:rPr>
      </w:pPr>
    </w:p>
    <w:p w:rsidR="00E45D9C" w:rsidRPr="002C672F" w:rsidRDefault="00E45D9C" w:rsidP="00E45D9C">
      <w:pPr>
        <w:keepNext/>
        <w:spacing w:before="240" w:after="120"/>
        <w:outlineLvl w:val="2"/>
        <w:rPr>
          <w:rFonts w:cs="Arial"/>
          <w:b/>
          <w:bCs/>
          <w:szCs w:val="26"/>
        </w:rPr>
      </w:pPr>
      <w:r w:rsidRPr="002C672F">
        <w:rPr>
          <w:rFonts w:cs="Arial"/>
          <w:b/>
          <w:bCs/>
          <w:szCs w:val="26"/>
        </w:rPr>
        <w:t>R</w:t>
      </w:r>
      <w:r w:rsidR="002C672F" w:rsidRPr="002C672F">
        <w:rPr>
          <w:rFonts w:cs="Arial"/>
          <w:b/>
          <w:bCs/>
          <w:szCs w:val="26"/>
        </w:rPr>
        <w:t>ESOURCES DIRECTORATE</w:t>
      </w:r>
    </w:p>
    <w:p w:rsidR="00E45D9C" w:rsidRPr="00D44E09" w:rsidRDefault="00E45D9C" w:rsidP="00D44E09">
      <w:pPr>
        <w:numPr>
          <w:ilvl w:val="0"/>
          <w:numId w:val="9"/>
        </w:numPr>
        <w:spacing w:after="240"/>
        <w:ind w:hanging="720"/>
      </w:pPr>
      <w:r w:rsidRPr="00D44E09">
        <w:t xml:space="preserve">As at Quarter 1 the forecast spend </w:t>
      </w:r>
      <w:proofErr w:type="gramStart"/>
      <w:r w:rsidR="00CE2818" w:rsidRPr="00D44E09">
        <w:t>was</w:t>
      </w:r>
      <w:proofErr w:type="gramEnd"/>
      <w:r w:rsidRPr="00D44E09">
        <w:t xml:space="preserve"> £16.473m, 81% of the 2015/16 Resource’s directorate capital budget. </w:t>
      </w:r>
      <w:r w:rsidR="00455115" w:rsidRPr="00D44E09">
        <w:t xml:space="preserve">At Quarter 2 </w:t>
      </w:r>
      <w:r w:rsidR="00045FE8" w:rsidRPr="00D44E09">
        <w:t>the revised forecast remain</w:t>
      </w:r>
      <w:r w:rsidR="00CE2818" w:rsidRPr="00D44E09">
        <w:t>s</w:t>
      </w:r>
      <w:r w:rsidR="00045FE8" w:rsidRPr="00D44E09">
        <w:t xml:space="preserve"> £16.473m. </w:t>
      </w:r>
    </w:p>
    <w:p w:rsidR="00E45D9C" w:rsidRPr="00D44E09" w:rsidRDefault="00E45D9C" w:rsidP="00D44E09">
      <w:pPr>
        <w:numPr>
          <w:ilvl w:val="0"/>
          <w:numId w:val="9"/>
        </w:numPr>
        <w:spacing w:after="240"/>
        <w:ind w:hanging="720"/>
      </w:pPr>
      <w:r w:rsidRPr="00D44E09">
        <w:t>The forecast under spend is £4.474m of which £4.380m will be slipped to 2016-17 and £94k is no longer needed. The main items of slippage are detailed below:</w:t>
      </w:r>
    </w:p>
    <w:p w:rsidR="00E45D9C" w:rsidRPr="00D44E09" w:rsidRDefault="00E45D9C" w:rsidP="00D44E09">
      <w:pPr>
        <w:numPr>
          <w:ilvl w:val="0"/>
          <w:numId w:val="9"/>
        </w:numPr>
        <w:spacing w:after="240"/>
        <w:ind w:hanging="720"/>
      </w:pPr>
      <w:r w:rsidRPr="00D44E09">
        <w:t xml:space="preserve">West London Waste Authority (WLWA) loan. The expected payment to WLWA in respect of a loan for infrastructure is currently projected to slip by £297k, based on the latest payment profile supplied by WLWA. The revenue implication is a minor interest loss on the loan of around £2k. </w:t>
      </w:r>
    </w:p>
    <w:p w:rsidR="00E45D9C" w:rsidRPr="00D44E09" w:rsidRDefault="00E45D9C" w:rsidP="00D44E09">
      <w:pPr>
        <w:numPr>
          <w:ilvl w:val="0"/>
          <w:numId w:val="9"/>
        </w:numPr>
        <w:spacing w:after="240"/>
        <w:ind w:hanging="720"/>
      </w:pPr>
      <w:r w:rsidRPr="00D44E09">
        <w:t>Mobile &amp; Flexible working. Accommodation, Power supplies working Peripherals budget will all be spent, other Council capital budgets for project teams, standing groups needed to deliver SharePoint will require further research, as a result of this £391k will be slipped. The direct revenue implication is a saving on the support payment that would have been paid from completion; it is currently projected as £132k one-off in 2015/16.</w:t>
      </w:r>
    </w:p>
    <w:p w:rsidR="00E45D9C" w:rsidRPr="00D44E09" w:rsidRDefault="00E45D9C" w:rsidP="00D44E09">
      <w:pPr>
        <w:numPr>
          <w:ilvl w:val="0"/>
          <w:numId w:val="9"/>
        </w:numPr>
        <w:spacing w:after="240"/>
        <w:ind w:hanging="720"/>
      </w:pPr>
      <w:r w:rsidRPr="00D44E09">
        <w:t>Transition and Transformation of IT service. £3.692m of the budget will be slipped to 2015/16 to reflect the current profile of implementation.  There is no quantifiable revenue implication.</w:t>
      </w:r>
    </w:p>
    <w:p w:rsidR="00E45D9C" w:rsidRPr="006B1DE1" w:rsidRDefault="00E45D9C" w:rsidP="00D44E09">
      <w:pPr>
        <w:numPr>
          <w:ilvl w:val="0"/>
          <w:numId w:val="9"/>
        </w:numPr>
        <w:spacing w:after="240"/>
        <w:ind w:hanging="720"/>
        <w:rPr>
          <w:rFonts w:cs="Arial"/>
          <w:bCs/>
          <w:kern w:val="32"/>
          <w:szCs w:val="32"/>
        </w:rPr>
      </w:pPr>
      <w:r w:rsidRPr="00D44E09">
        <w:t>There</w:t>
      </w:r>
      <w:r w:rsidRPr="006B1DE1">
        <w:rPr>
          <w:rFonts w:cs="Arial"/>
          <w:bCs/>
          <w:kern w:val="32"/>
          <w:szCs w:val="32"/>
        </w:rPr>
        <w:t xml:space="preserve"> is a net underspend across the directorate of £94k as detailed below: </w:t>
      </w:r>
    </w:p>
    <w:p w:rsidR="00E45D9C" w:rsidRPr="00D44E09" w:rsidRDefault="00E45D9C" w:rsidP="00D44E09">
      <w:pPr>
        <w:numPr>
          <w:ilvl w:val="0"/>
          <w:numId w:val="9"/>
        </w:numPr>
        <w:spacing w:after="240"/>
        <w:ind w:hanging="720"/>
      </w:pPr>
      <w:r w:rsidRPr="00D44E09">
        <w:t xml:space="preserve">Ongoing refresh and enhancement of ICT. £63k of the budget allocated to waste vehicle in-cab refresh and for Tablets is anticipated to </w:t>
      </w:r>
      <w:r w:rsidRPr="00D44E09">
        <w:lastRenderedPageBreak/>
        <w:t xml:space="preserve">underspend. In addition £50k allocated to the refresh of scanners is anticipated to underspend as a result of outsourcing the service. </w:t>
      </w:r>
    </w:p>
    <w:p w:rsidR="00E45D9C" w:rsidRPr="006B1DE1" w:rsidRDefault="00E45D9C" w:rsidP="00D44E09">
      <w:pPr>
        <w:numPr>
          <w:ilvl w:val="0"/>
          <w:numId w:val="9"/>
        </w:numPr>
        <w:spacing w:after="240"/>
        <w:ind w:hanging="720"/>
        <w:rPr>
          <w:rFonts w:cs="Arial"/>
          <w:bCs/>
          <w:kern w:val="32"/>
          <w:szCs w:val="32"/>
        </w:rPr>
      </w:pPr>
      <w:r w:rsidRPr="00D44E09">
        <w:t xml:space="preserve">It is not possible at the moment to accurately assess the level of ICT programme that can be delivered by the new ICT contractor Sopra Steria until </w:t>
      </w:r>
      <w:r w:rsidR="00374CD9" w:rsidRPr="00D44E09">
        <w:t>after the start of the new contract</w:t>
      </w:r>
      <w:r w:rsidRPr="00D44E09">
        <w:t xml:space="preserve"> when discussions will begin to quantify</w:t>
      </w:r>
      <w:r w:rsidRPr="006B1DE1">
        <w:rPr>
          <w:rFonts w:cs="Arial"/>
          <w:bCs/>
          <w:kern w:val="32"/>
          <w:szCs w:val="32"/>
        </w:rPr>
        <w:t xml:space="preserve"> the level of work that can be deliver in 15/16 which will have a direct impact on the capital outturn. </w:t>
      </w:r>
    </w:p>
    <w:p w:rsidR="002E14DC" w:rsidRPr="002C672F" w:rsidRDefault="002E14DC" w:rsidP="00741AEB">
      <w:pPr>
        <w:spacing w:after="240"/>
        <w:rPr>
          <w:b/>
        </w:rPr>
      </w:pPr>
      <w:r w:rsidRPr="002C672F">
        <w:rPr>
          <w:b/>
        </w:rPr>
        <w:t>COMMUNITY</w:t>
      </w:r>
      <w:r w:rsidR="002C672F" w:rsidRPr="002C672F">
        <w:rPr>
          <w:b/>
        </w:rPr>
        <w:t xml:space="preserve"> DIRECTORATE</w:t>
      </w:r>
    </w:p>
    <w:p w:rsidR="009E7FE2" w:rsidRPr="009E7FE2" w:rsidRDefault="00525D83" w:rsidP="00D44E09">
      <w:pPr>
        <w:numPr>
          <w:ilvl w:val="0"/>
          <w:numId w:val="9"/>
        </w:numPr>
        <w:spacing w:after="240"/>
        <w:ind w:hanging="720"/>
      </w:pPr>
      <w:r>
        <w:rPr>
          <w:rFonts w:cs="Arial"/>
          <w:bCs/>
          <w:kern w:val="32"/>
          <w:szCs w:val="32"/>
        </w:rPr>
        <w:t>As at</w:t>
      </w:r>
      <w:r w:rsidRPr="00DD4605">
        <w:rPr>
          <w:rFonts w:cs="Arial"/>
          <w:bCs/>
          <w:kern w:val="32"/>
          <w:szCs w:val="32"/>
        </w:rPr>
        <w:t xml:space="preserve"> Quarter 2 the revised forecast is £</w:t>
      </w:r>
      <w:r>
        <w:rPr>
          <w:rFonts w:cs="Arial"/>
          <w:bCs/>
          <w:kern w:val="32"/>
          <w:szCs w:val="32"/>
        </w:rPr>
        <w:t>26.613m</w:t>
      </w:r>
      <w:r w:rsidRPr="00DD4605">
        <w:rPr>
          <w:rFonts w:cs="Arial"/>
          <w:bCs/>
          <w:kern w:val="32"/>
          <w:szCs w:val="32"/>
        </w:rPr>
        <w:t xml:space="preserve">, </w:t>
      </w:r>
      <w:r>
        <w:rPr>
          <w:rFonts w:cs="Arial"/>
          <w:bCs/>
          <w:kern w:val="32"/>
          <w:szCs w:val="32"/>
        </w:rPr>
        <w:t>73</w:t>
      </w:r>
      <w:r w:rsidRPr="00DD4605">
        <w:rPr>
          <w:rFonts w:cs="Arial"/>
          <w:bCs/>
          <w:kern w:val="32"/>
          <w:szCs w:val="32"/>
        </w:rPr>
        <w:t>% of the total budget</w:t>
      </w:r>
      <w:r w:rsidR="00374CD9">
        <w:rPr>
          <w:rFonts w:cs="Arial"/>
          <w:bCs/>
          <w:kern w:val="32"/>
          <w:szCs w:val="32"/>
        </w:rPr>
        <w:t>.</w:t>
      </w:r>
    </w:p>
    <w:p w:rsidR="002E14DC" w:rsidRDefault="00E45D9C" w:rsidP="00741AEB">
      <w:pPr>
        <w:spacing w:after="240"/>
        <w:rPr>
          <w:b/>
          <w:u w:val="single"/>
        </w:rPr>
      </w:pPr>
      <w:r>
        <w:rPr>
          <w:b/>
          <w:u w:val="single"/>
        </w:rPr>
        <w:t>Environment &amp; Commissioning</w:t>
      </w:r>
    </w:p>
    <w:p w:rsidR="00E45D9C" w:rsidRPr="006B1DE1" w:rsidRDefault="00525D83" w:rsidP="00D44E09">
      <w:pPr>
        <w:numPr>
          <w:ilvl w:val="0"/>
          <w:numId w:val="9"/>
        </w:numPr>
        <w:spacing w:after="240"/>
        <w:ind w:hanging="720"/>
        <w:rPr>
          <w:rFonts w:cs="Arial"/>
          <w:bCs/>
          <w:kern w:val="32"/>
          <w:szCs w:val="32"/>
        </w:rPr>
      </w:pPr>
      <w:r>
        <w:rPr>
          <w:rFonts w:cs="Arial"/>
          <w:bCs/>
          <w:kern w:val="32"/>
          <w:szCs w:val="32"/>
        </w:rPr>
        <w:t xml:space="preserve"> At Quarter 2</w:t>
      </w:r>
      <w:r w:rsidR="00791192">
        <w:rPr>
          <w:rFonts w:cs="Arial"/>
          <w:bCs/>
          <w:kern w:val="32"/>
          <w:szCs w:val="32"/>
        </w:rPr>
        <w:t xml:space="preserve"> the revised forecast is £19.896</w:t>
      </w:r>
      <w:r w:rsidR="00375004">
        <w:rPr>
          <w:rFonts w:cs="Arial"/>
          <w:bCs/>
          <w:kern w:val="32"/>
          <w:szCs w:val="32"/>
        </w:rPr>
        <w:t>m</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The forecast under spend is</w:t>
      </w:r>
      <w:r w:rsidR="00791192">
        <w:rPr>
          <w:rFonts w:cs="Arial"/>
          <w:bCs/>
          <w:kern w:val="32"/>
          <w:szCs w:val="32"/>
        </w:rPr>
        <w:t xml:space="preserve"> £2.706</w:t>
      </w:r>
      <w:r w:rsidRPr="006B1DE1">
        <w:rPr>
          <w:rFonts w:cs="Arial"/>
          <w:bCs/>
          <w:kern w:val="32"/>
          <w:szCs w:val="32"/>
        </w:rPr>
        <w:t>m</w:t>
      </w:r>
      <w:r w:rsidR="00791192">
        <w:rPr>
          <w:rFonts w:cs="Arial"/>
          <w:bCs/>
          <w:kern w:val="32"/>
          <w:szCs w:val="32"/>
        </w:rPr>
        <w:t xml:space="preserve">, </w:t>
      </w:r>
      <w:r w:rsidRPr="006B1DE1">
        <w:rPr>
          <w:rFonts w:cs="Arial"/>
          <w:bCs/>
          <w:kern w:val="32"/>
          <w:szCs w:val="32"/>
        </w:rPr>
        <w:t>and will all be slipped to 2016/17.</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The main item of slippage and reasons are detailed below:</w:t>
      </w:r>
    </w:p>
    <w:p w:rsidR="00E45D9C" w:rsidRPr="00D44E09" w:rsidRDefault="00E45D9C" w:rsidP="00D44E09">
      <w:pPr>
        <w:numPr>
          <w:ilvl w:val="0"/>
          <w:numId w:val="9"/>
        </w:numPr>
        <w:spacing w:after="240"/>
        <w:ind w:hanging="720"/>
        <w:rPr>
          <w:rFonts w:cs="Arial"/>
          <w:bCs/>
          <w:kern w:val="32"/>
          <w:szCs w:val="32"/>
        </w:rPr>
      </w:pPr>
      <w:r w:rsidRPr="00042683">
        <w:rPr>
          <w:rFonts w:cs="Arial"/>
          <w:bCs/>
          <w:kern w:val="32"/>
          <w:szCs w:val="32"/>
        </w:rPr>
        <w:t>Harrow on the Hill Station project - £2m. This project is assumed to be largely funded by TfL with a contribution from the Council of £3.1m over the life of the project. Some preliminary works were completed in 14/15. The scheme is currently under discussion with the TfL, and therefore it is anticipated that the budget profiled for this year will be slipped</w:t>
      </w:r>
      <w:r>
        <w:rPr>
          <w:rFonts w:cs="Arial"/>
          <w:bCs/>
          <w:kern w:val="32"/>
          <w:szCs w:val="32"/>
        </w:rPr>
        <w:t>.</w:t>
      </w:r>
    </w:p>
    <w:p w:rsidR="003F47B4" w:rsidRPr="003F47B4" w:rsidRDefault="003F47B4" w:rsidP="00D44E09">
      <w:pPr>
        <w:numPr>
          <w:ilvl w:val="0"/>
          <w:numId w:val="9"/>
        </w:numPr>
        <w:spacing w:after="240"/>
        <w:ind w:hanging="720"/>
        <w:rPr>
          <w:rFonts w:cs="Arial"/>
          <w:bCs/>
          <w:szCs w:val="26"/>
        </w:rPr>
      </w:pPr>
      <w:r w:rsidRPr="003F47B4">
        <w:rPr>
          <w:rFonts w:cs="Arial"/>
          <w:bCs/>
          <w:kern w:val="32"/>
          <w:szCs w:val="32"/>
        </w:rPr>
        <w:t xml:space="preserve">The project is </w:t>
      </w:r>
      <w:r>
        <w:rPr>
          <w:rFonts w:cs="Arial"/>
          <w:bCs/>
          <w:kern w:val="32"/>
          <w:szCs w:val="32"/>
        </w:rPr>
        <w:t>currently</w:t>
      </w:r>
      <w:r w:rsidRPr="003F47B4">
        <w:rPr>
          <w:rFonts w:cs="Arial"/>
          <w:bCs/>
          <w:kern w:val="32"/>
          <w:szCs w:val="32"/>
        </w:rPr>
        <w:t xml:space="preserve"> pause</w:t>
      </w:r>
      <w:r>
        <w:rPr>
          <w:rFonts w:cs="Arial"/>
          <w:bCs/>
          <w:kern w:val="32"/>
          <w:szCs w:val="32"/>
        </w:rPr>
        <w:t xml:space="preserve">d. </w:t>
      </w:r>
      <w:r w:rsidRPr="003F47B4">
        <w:rPr>
          <w:rFonts w:cs="Arial"/>
          <w:bCs/>
          <w:kern w:val="32"/>
          <w:szCs w:val="32"/>
        </w:rPr>
        <w:t>Due to the uncertainties around the timescale for delivery, it is estimated at this stage that only minimal spend will be incurred in 15/16, with the majority of the budget being slipped to 16/17.</w:t>
      </w:r>
    </w:p>
    <w:p w:rsidR="00E77F63" w:rsidRPr="00E45D9C" w:rsidRDefault="001B35A1" w:rsidP="00D44E09">
      <w:pPr>
        <w:numPr>
          <w:ilvl w:val="0"/>
          <w:numId w:val="9"/>
        </w:numPr>
        <w:spacing w:after="240"/>
        <w:ind w:hanging="720"/>
        <w:rPr>
          <w:rFonts w:cs="Arial"/>
          <w:bCs/>
          <w:szCs w:val="26"/>
        </w:rPr>
      </w:pPr>
      <w:r>
        <w:rPr>
          <w:rFonts w:cs="Arial"/>
          <w:bCs/>
          <w:kern w:val="32"/>
          <w:szCs w:val="32"/>
        </w:rPr>
        <w:t xml:space="preserve">Green Grid Programme </w:t>
      </w:r>
      <w:r w:rsidR="00F3582A" w:rsidRPr="003F47B4">
        <w:rPr>
          <w:rFonts w:cs="Arial"/>
          <w:bCs/>
          <w:kern w:val="32"/>
          <w:szCs w:val="32"/>
        </w:rPr>
        <w:t>–</w:t>
      </w:r>
      <w:r w:rsidRPr="003F47B4">
        <w:rPr>
          <w:rFonts w:cs="Arial"/>
          <w:bCs/>
          <w:kern w:val="32"/>
          <w:szCs w:val="32"/>
        </w:rPr>
        <w:t xml:space="preserve"> </w:t>
      </w:r>
      <w:r w:rsidR="003F47B4" w:rsidRPr="003F47B4">
        <w:rPr>
          <w:rFonts w:cs="Arial"/>
          <w:bCs/>
          <w:kern w:val="32"/>
          <w:szCs w:val="32"/>
        </w:rPr>
        <w:t>The forecast slippage of £188k relates to Stanmore Marsh project which is partially funded by the GLA, S106 monies and Harrow capital. This is a two year project but there is a spend deadline for the GLA grant of 31st March 2015, and therefore the funding has been profiled to utilise the GLA grant in this financial year and S106 monies in 16/17. The S106 budget for this project has been agreed and set aside to meet the remaining expenditure on Stanmore Marsh project next year.</w:t>
      </w:r>
    </w:p>
    <w:p w:rsidR="00E45D9C" w:rsidRDefault="00E45D9C" w:rsidP="00741AEB">
      <w:pPr>
        <w:spacing w:after="240"/>
        <w:rPr>
          <w:b/>
          <w:u w:val="single"/>
        </w:rPr>
      </w:pPr>
      <w:r>
        <w:rPr>
          <w:b/>
          <w:u w:val="single"/>
        </w:rPr>
        <w:t>Culture</w:t>
      </w:r>
    </w:p>
    <w:p w:rsidR="00E45D9C" w:rsidRDefault="00E45D9C" w:rsidP="00D44E09">
      <w:pPr>
        <w:numPr>
          <w:ilvl w:val="0"/>
          <w:numId w:val="9"/>
        </w:numPr>
        <w:spacing w:after="240"/>
        <w:ind w:hanging="720"/>
        <w:rPr>
          <w:rFonts w:cs="Arial"/>
          <w:bCs/>
          <w:kern w:val="32"/>
          <w:szCs w:val="32"/>
        </w:rPr>
      </w:pPr>
      <w:r w:rsidRPr="006B1DE1">
        <w:rPr>
          <w:rFonts w:cs="Arial"/>
          <w:bCs/>
          <w:kern w:val="32"/>
          <w:szCs w:val="32"/>
        </w:rPr>
        <w:t>Banister Sports Centre Impr</w:t>
      </w:r>
      <w:r w:rsidR="001058A6">
        <w:rPr>
          <w:rFonts w:cs="Arial"/>
          <w:bCs/>
          <w:kern w:val="32"/>
          <w:szCs w:val="32"/>
        </w:rPr>
        <w:t xml:space="preserve">ovement – This development is linked to Kodak site, this has already been approved by the planning committee and s106 money secured. However </w:t>
      </w:r>
      <w:r w:rsidRPr="006B1DE1">
        <w:rPr>
          <w:rFonts w:cs="Arial"/>
          <w:bCs/>
          <w:kern w:val="32"/>
          <w:szCs w:val="32"/>
        </w:rPr>
        <w:t>a decision is still pending on the sale of land on Kodak site, no further plans can be made until th</w:t>
      </w:r>
      <w:r w:rsidR="001058A6">
        <w:rPr>
          <w:rFonts w:cs="Arial"/>
          <w:bCs/>
          <w:kern w:val="32"/>
          <w:szCs w:val="32"/>
        </w:rPr>
        <w:t>is happed. T</w:t>
      </w:r>
      <w:r w:rsidRPr="006B1DE1">
        <w:rPr>
          <w:rFonts w:cs="Arial"/>
          <w:bCs/>
          <w:kern w:val="32"/>
          <w:szCs w:val="32"/>
        </w:rPr>
        <w:t xml:space="preserve">here is no revenue impact.  </w:t>
      </w:r>
      <w:r w:rsidR="00F3582A">
        <w:rPr>
          <w:rFonts w:cs="Arial"/>
          <w:bCs/>
          <w:kern w:val="32"/>
          <w:szCs w:val="32"/>
        </w:rPr>
        <w:t>(</w:t>
      </w:r>
      <w:r w:rsidRPr="006B1DE1">
        <w:rPr>
          <w:rFonts w:cs="Arial"/>
          <w:bCs/>
          <w:kern w:val="32"/>
          <w:szCs w:val="32"/>
        </w:rPr>
        <w:t>£1.004m</w:t>
      </w:r>
      <w:r w:rsidR="00F3582A">
        <w:rPr>
          <w:rFonts w:cs="Arial"/>
          <w:bCs/>
          <w:kern w:val="32"/>
          <w:szCs w:val="32"/>
        </w:rPr>
        <w:t>)</w:t>
      </w:r>
      <w:r w:rsidRPr="006B1DE1">
        <w:rPr>
          <w:rFonts w:cs="Arial"/>
          <w:bCs/>
          <w:kern w:val="32"/>
          <w:szCs w:val="32"/>
        </w:rPr>
        <w:t>.</w:t>
      </w:r>
    </w:p>
    <w:p w:rsidR="001058A6" w:rsidRPr="006B1DE1" w:rsidRDefault="001058A6" w:rsidP="00D44E09">
      <w:pPr>
        <w:numPr>
          <w:ilvl w:val="0"/>
          <w:numId w:val="9"/>
        </w:numPr>
        <w:spacing w:after="240"/>
        <w:ind w:hanging="720"/>
        <w:rPr>
          <w:rFonts w:cs="Arial"/>
          <w:bCs/>
          <w:kern w:val="32"/>
          <w:szCs w:val="32"/>
        </w:rPr>
      </w:pPr>
      <w:r>
        <w:rPr>
          <w:rFonts w:cs="Arial"/>
          <w:bCs/>
          <w:kern w:val="32"/>
          <w:szCs w:val="32"/>
        </w:rPr>
        <w:t xml:space="preserve">Headstone Manor – On-going project with Heritage Lottery Fund, </w:t>
      </w:r>
      <w:r w:rsidR="00277F3C">
        <w:rPr>
          <w:rFonts w:cs="Arial"/>
          <w:bCs/>
          <w:kern w:val="32"/>
          <w:szCs w:val="32"/>
        </w:rPr>
        <w:t xml:space="preserve">forecast relates to </w:t>
      </w:r>
      <w:proofErr w:type="gramStart"/>
      <w:r w:rsidR="00277F3C">
        <w:rPr>
          <w:rFonts w:cs="Arial"/>
          <w:bCs/>
          <w:kern w:val="32"/>
          <w:szCs w:val="32"/>
        </w:rPr>
        <w:t>phase</w:t>
      </w:r>
      <w:proofErr w:type="gramEnd"/>
      <w:r w:rsidR="00277F3C">
        <w:rPr>
          <w:rFonts w:cs="Arial"/>
          <w:bCs/>
          <w:kern w:val="32"/>
          <w:szCs w:val="32"/>
        </w:rPr>
        <w:t xml:space="preserve"> one of the project, underspend will be slipped to 2016/17. There is no revenue implication. </w:t>
      </w:r>
      <w:r w:rsidR="00F3582A">
        <w:rPr>
          <w:rFonts w:cs="Arial"/>
          <w:bCs/>
          <w:kern w:val="32"/>
          <w:szCs w:val="32"/>
        </w:rPr>
        <w:t>(</w:t>
      </w:r>
      <w:r w:rsidR="00277F3C">
        <w:rPr>
          <w:rFonts w:cs="Arial"/>
          <w:bCs/>
          <w:kern w:val="32"/>
          <w:szCs w:val="32"/>
        </w:rPr>
        <w:t>£100k</w:t>
      </w:r>
      <w:r w:rsidR="00F3582A">
        <w:rPr>
          <w:rFonts w:cs="Arial"/>
          <w:bCs/>
          <w:kern w:val="32"/>
          <w:szCs w:val="32"/>
        </w:rPr>
        <w:t>)</w:t>
      </w:r>
      <w:r w:rsidR="00277F3C">
        <w:rPr>
          <w:rFonts w:cs="Arial"/>
          <w:bCs/>
          <w:kern w:val="32"/>
          <w:szCs w:val="32"/>
        </w:rPr>
        <w:t xml:space="preserve">. </w:t>
      </w:r>
    </w:p>
    <w:p w:rsidR="00E45D9C" w:rsidRDefault="00E45D9C" w:rsidP="00741AEB">
      <w:pPr>
        <w:spacing w:after="240"/>
        <w:rPr>
          <w:b/>
          <w:u w:val="single"/>
        </w:rPr>
      </w:pPr>
      <w:r>
        <w:rPr>
          <w:b/>
          <w:u w:val="single"/>
        </w:rPr>
        <w:lastRenderedPageBreak/>
        <w:t>Housing General Fund</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Empty Property Grant -  Grant payments to private residents in return for nomination right to house homeless persons in these properties as opposed to more expensive Bed &amp; Breakfast accommodation, traditionally underspent, results in lower number of properties becoming available thereby increasing pressure on General Fund  (£45k).</w:t>
      </w:r>
    </w:p>
    <w:p w:rsidR="00E45D9C" w:rsidRDefault="00E45D9C" w:rsidP="00D44E09">
      <w:pPr>
        <w:numPr>
          <w:ilvl w:val="0"/>
          <w:numId w:val="9"/>
        </w:numPr>
        <w:spacing w:after="240"/>
        <w:ind w:hanging="720"/>
        <w:rPr>
          <w:rFonts w:cs="Arial"/>
          <w:bCs/>
          <w:kern w:val="32"/>
          <w:szCs w:val="32"/>
        </w:rPr>
      </w:pPr>
      <w:r w:rsidRPr="006B1DE1">
        <w:rPr>
          <w:rFonts w:cs="Arial"/>
          <w:bCs/>
          <w:kern w:val="32"/>
          <w:szCs w:val="32"/>
        </w:rPr>
        <w:t xml:space="preserve">Reform Of Social Housing – Planned programme of spend relating to IT upgrade of systems again partly dependant on work load of the new IT contractor and therefore estimated slippage of </w:t>
      </w:r>
      <w:r w:rsidR="00F3582A">
        <w:rPr>
          <w:rFonts w:cs="Arial"/>
          <w:bCs/>
          <w:kern w:val="32"/>
          <w:szCs w:val="32"/>
        </w:rPr>
        <w:t>(£755</w:t>
      </w:r>
      <w:r w:rsidRPr="006B1DE1">
        <w:rPr>
          <w:rFonts w:cs="Arial"/>
          <w:bCs/>
          <w:kern w:val="32"/>
          <w:szCs w:val="32"/>
        </w:rPr>
        <w:t>k</w:t>
      </w:r>
      <w:r w:rsidR="00F3582A">
        <w:rPr>
          <w:rFonts w:cs="Arial"/>
          <w:bCs/>
          <w:kern w:val="32"/>
          <w:szCs w:val="32"/>
        </w:rPr>
        <w:t>)</w:t>
      </w:r>
      <w:r w:rsidRPr="006B1DE1">
        <w:rPr>
          <w:rFonts w:cs="Arial"/>
          <w:bCs/>
          <w:kern w:val="32"/>
          <w:szCs w:val="32"/>
        </w:rPr>
        <w:t>. No direct revenue implication.</w:t>
      </w:r>
    </w:p>
    <w:p w:rsidR="00F3582A" w:rsidRDefault="00F3582A" w:rsidP="00D44E09">
      <w:pPr>
        <w:numPr>
          <w:ilvl w:val="0"/>
          <w:numId w:val="9"/>
        </w:numPr>
        <w:spacing w:after="240"/>
        <w:ind w:hanging="720"/>
        <w:rPr>
          <w:rFonts w:cs="Arial"/>
          <w:bCs/>
          <w:kern w:val="32"/>
          <w:szCs w:val="32"/>
        </w:rPr>
      </w:pPr>
      <w:r>
        <w:rPr>
          <w:rFonts w:cs="Arial"/>
          <w:bCs/>
          <w:kern w:val="32"/>
          <w:szCs w:val="32"/>
        </w:rPr>
        <w:t>Green Deal Communities</w:t>
      </w:r>
      <w:r w:rsidRPr="006B1DE1">
        <w:rPr>
          <w:rFonts w:cs="Arial"/>
          <w:bCs/>
          <w:kern w:val="32"/>
          <w:szCs w:val="32"/>
        </w:rPr>
        <w:t>- Grant payments to private residents for warmer homes and energy saving insulation, grant funded from the Department of Energy and Climate Change, the initiative is not now going to proceed and the grant monies are to be returned to the grant provider. No incremental staff resources were allocated therefore there is no revenue impact to c</w:t>
      </w:r>
      <w:r>
        <w:rPr>
          <w:rFonts w:cs="Arial"/>
          <w:bCs/>
          <w:kern w:val="32"/>
          <w:szCs w:val="32"/>
        </w:rPr>
        <w:t>urtailment of the scheme (£1.351</w:t>
      </w:r>
      <w:r w:rsidRPr="006B1DE1">
        <w:rPr>
          <w:rFonts w:cs="Arial"/>
          <w:bCs/>
          <w:kern w:val="32"/>
          <w:szCs w:val="32"/>
        </w:rPr>
        <w:t>m).</w:t>
      </w:r>
    </w:p>
    <w:p w:rsidR="002E14DC" w:rsidRPr="00F3582A" w:rsidRDefault="002E14DC" w:rsidP="00741AEB">
      <w:pPr>
        <w:spacing w:after="240"/>
        <w:rPr>
          <w:b/>
          <w:u w:val="single"/>
        </w:rPr>
      </w:pPr>
      <w:r w:rsidRPr="00F3582A">
        <w:rPr>
          <w:b/>
          <w:u w:val="single"/>
        </w:rPr>
        <w:t>PEOPLE</w:t>
      </w:r>
    </w:p>
    <w:p w:rsidR="00410EE1" w:rsidRPr="006B1DE1" w:rsidRDefault="00410EE1" w:rsidP="00D44E09">
      <w:pPr>
        <w:numPr>
          <w:ilvl w:val="0"/>
          <w:numId w:val="9"/>
        </w:numPr>
        <w:spacing w:after="240"/>
        <w:ind w:hanging="720"/>
        <w:rPr>
          <w:rFonts w:cs="Arial"/>
          <w:bCs/>
          <w:kern w:val="32"/>
          <w:szCs w:val="32"/>
        </w:rPr>
      </w:pPr>
      <w:r>
        <w:rPr>
          <w:rFonts w:cs="Arial"/>
          <w:bCs/>
          <w:kern w:val="32"/>
          <w:szCs w:val="32"/>
        </w:rPr>
        <w:t>At Quarte</w:t>
      </w:r>
      <w:r w:rsidR="00F4466E">
        <w:rPr>
          <w:rFonts w:cs="Arial"/>
          <w:bCs/>
          <w:kern w:val="32"/>
          <w:szCs w:val="32"/>
        </w:rPr>
        <w:t>r 2 the forecast spend is £52.993</w:t>
      </w:r>
      <w:r w:rsidRPr="006B1DE1">
        <w:rPr>
          <w:rFonts w:cs="Arial"/>
          <w:bCs/>
          <w:kern w:val="32"/>
          <w:szCs w:val="32"/>
        </w:rPr>
        <w:t>m, 81% of the 2015</w:t>
      </w:r>
      <w:r w:rsidR="00F4466E">
        <w:rPr>
          <w:rFonts w:cs="Arial"/>
          <w:bCs/>
          <w:kern w:val="32"/>
          <w:szCs w:val="32"/>
        </w:rPr>
        <w:t>/16 People</w:t>
      </w:r>
      <w:r w:rsidRPr="006B1DE1">
        <w:rPr>
          <w:rFonts w:cs="Arial"/>
          <w:bCs/>
          <w:kern w:val="32"/>
          <w:szCs w:val="32"/>
        </w:rPr>
        <w:t>’s directorate capital budget.</w:t>
      </w:r>
      <w:r>
        <w:rPr>
          <w:rFonts w:cs="Arial"/>
          <w:bCs/>
          <w:kern w:val="32"/>
          <w:szCs w:val="32"/>
        </w:rPr>
        <w:t xml:space="preserve"> </w:t>
      </w:r>
    </w:p>
    <w:p w:rsidR="00410EE1" w:rsidRPr="006B1DE1" w:rsidRDefault="00410EE1" w:rsidP="00D44E09">
      <w:pPr>
        <w:numPr>
          <w:ilvl w:val="0"/>
          <w:numId w:val="9"/>
        </w:numPr>
        <w:spacing w:after="240"/>
        <w:ind w:hanging="720"/>
        <w:rPr>
          <w:rFonts w:cs="Arial"/>
          <w:bCs/>
          <w:kern w:val="32"/>
          <w:szCs w:val="32"/>
        </w:rPr>
      </w:pPr>
      <w:r w:rsidRPr="006B1DE1">
        <w:rPr>
          <w:rFonts w:cs="Arial"/>
          <w:bCs/>
          <w:kern w:val="32"/>
          <w:szCs w:val="32"/>
        </w:rPr>
        <w:t>The forecast under spend is £</w:t>
      </w:r>
      <w:r w:rsidR="00F4466E">
        <w:rPr>
          <w:rFonts w:cs="Arial"/>
          <w:bCs/>
          <w:kern w:val="32"/>
          <w:szCs w:val="32"/>
        </w:rPr>
        <w:t>12.926m</w:t>
      </w:r>
      <w:r w:rsidRPr="006B1DE1">
        <w:rPr>
          <w:rFonts w:cs="Arial"/>
          <w:bCs/>
          <w:kern w:val="32"/>
          <w:szCs w:val="32"/>
        </w:rPr>
        <w:t xml:space="preserve"> of which £</w:t>
      </w:r>
      <w:r w:rsidR="004922C6">
        <w:rPr>
          <w:rFonts w:cs="Arial"/>
          <w:bCs/>
          <w:kern w:val="32"/>
          <w:szCs w:val="32"/>
        </w:rPr>
        <w:t>1</w:t>
      </w:r>
      <w:r w:rsidR="008D67D6">
        <w:rPr>
          <w:rFonts w:cs="Arial"/>
          <w:bCs/>
          <w:kern w:val="32"/>
          <w:szCs w:val="32"/>
        </w:rPr>
        <w:t>2.</w:t>
      </w:r>
      <w:r w:rsidR="009D4C10">
        <w:rPr>
          <w:rFonts w:cs="Arial"/>
          <w:bCs/>
          <w:kern w:val="32"/>
          <w:szCs w:val="32"/>
        </w:rPr>
        <w:t>713</w:t>
      </w:r>
      <w:r w:rsidR="008D67D6">
        <w:rPr>
          <w:rFonts w:cs="Arial"/>
          <w:bCs/>
          <w:kern w:val="32"/>
          <w:szCs w:val="32"/>
        </w:rPr>
        <w:t xml:space="preserve">m </w:t>
      </w:r>
      <w:r w:rsidR="008D67D6" w:rsidRPr="006B1DE1">
        <w:rPr>
          <w:rFonts w:cs="Arial"/>
          <w:bCs/>
          <w:kern w:val="32"/>
          <w:szCs w:val="32"/>
        </w:rPr>
        <w:t>will</w:t>
      </w:r>
      <w:r w:rsidRPr="006B1DE1">
        <w:rPr>
          <w:rFonts w:cs="Arial"/>
          <w:bCs/>
          <w:kern w:val="32"/>
          <w:szCs w:val="32"/>
        </w:rPr>
        <w:t xml:space="preserve"> be slipped to 2016-17 and £</w:t>
      </w:r>
      <w:r w:rsidR="009D4C10">
        <w:rPr>
          <w:rFonts w:cs="Arial"/>
          <w:bCs/>
          <w:kern w:val="32"/>
          <w:szCs w:val="32"/>
        </w:rPr>
        <w:t>2</w:t>
      </w:r>
      <w:r w:rsidR="00F4466E">
        <w:rPr>
          <w:rFonts w:cs="Arial"/>
          <w:bCs/>
          <w:kern w:val="32"/>
          <w:szCs w:val="32"/>
        </w:rPr>
        <w:t>13</w:t>
      </w:r>
      <w:r w:rsidRPr="006B1DE1">
        <w:rPr>
          <w:rFonts w:cs="Arial"/>
          <w:bCs/>
          <w:kern w:val="32"/>
          <w:szCs w:val="32"/>
        </w:rPr>
        <w:t>k is no longer needed. The main items of slippage are detailed below:</w:t>
      </w:r>
    </w:p>
    <w:p w:rsidR="002E14DC" w:rsidRDefault="00410EE1" w:rsidP="002E14DC">
      <w:pPr>
        <w:keepNext/>
        <w:spacing w:after="240"/>
        <w:outlineLvl w:val="1"/>
        <w:rPr>
          <w:rFonts w:cs="Arial"/>
          <w:b/>
          <w:bCs/>
          <w:kern w:val="32"/>
          <w:szCs w:val="32"/>
          <w:u w:val="single"/>
        </w:rPr>
      </w:pPr>
      <w:r>
        <w:rPr>
          <w:rFonts w:cs="Arial"/>
          <w:b/>
          <w:bCs/>
          <w:kern w:val="32"/>
          <w:szCs w:val="32"/>
          <w:u w:val="single"/>
        </w:rPr>
        <w:t>Adu</w:t>
      </w:r>
      <w:r w:rsidR="002E14DC">
        <w:rPr>
          <w:rFonts w:cs="Arial"/>
          <w:b/>
          <w:bCs/>
          <w:kern w:val="32"/>
          <w:szCs w:val="32"/>
          <w:u w:val="single"/>
        </w:rPr>
        <w:t>lts</w:t>
      </w:r>
    </w:p>
    <w:p w:rsidR="00885435" w:rsidRDefault="00824C92" w:rsidP="00D44E09">
      <w:pPr>
        <w:numPr>
          <w:ilvl w:val="0"/>
          <w:numId w:val="9"/>
        </w:numPr>
        <w:spacing w:after="240"/>
        <w:ind w:hanging="720"/>
        <w:rPr>
          <w:rFonts w:cs="Arial"/>
          <w:bCs/>
          <w:kern w:val="32"/>
          <w:szCs w:val="32"/>
        </w:rPr>
      </w:pPr>
      <w:r>
        <w:rPr>
          <w:rFonts w:cs="Arial"/>
          <w:bCs/>
          <w:kern w:val="32"/>
          <w:szCs w:val="32"/>
        </w:rPr>
        <w:t>At Quarter 2 the forecast spent is £821k, 21% of the approved capital programme.</w:t>
      </w:r>
    </w:p>
    <w:p w:rsidR="002E14DC" w:rsidRPr="006B1DE1" w:rsidRDefault="002E14DC" w:rsidP="00D44E09">
      <w:pPr>
        <w:numPr>
          <w:ilvl w:val="0"/>
          <w:numId w:val="9"/>
        </w:numPr>
        <w:spacing w:after="240"/>
        <w:ind w:hanging="720"/>
        <w:rPr>
          <w:rFonts w:cs="Arial"/>
          <w:bCs/>
          <w:kern w:val="32"/>
          <w:szCs w:val="32"/>
        </w:rPr>
      </w:pPr>
      <w:r w:rsidRPr="006B1DE1">
        <w:rPr>
          <w:rFonts w:cs="Arial"/>
          <w:bCs/>
          <w:kern w:val="32"/>
          <w:szCs w:val="32"/>
        </w:rPr>
        <w:t>Th</w:t>
      </w:r>
      <w:r w:rsidR="00F4466E">
        <w:rPr>
          <w:rFonts w:cs="Arial"/>
          <w:bCs/>
          <w:kern w:val="32"/>
          <w:szCs w:val="32"/>
        </w:rPr>
        <w:t>e directorate variance is £3.182</w:t>
      </w:r>
      <w:r w:rsidRPr="006B1DE1">
        <w:rPr>
          <w:rFonts w:cs="Arial"/>
          <w:bCs/>
          <w:kern w:val="32"/>
          <w:szCs w:val="32"/>
        </w:rPr>
        <w:t>m of which £2.</w:t>
      </w:r>
      <w:r w:rsidR="00F4466E">
        <w:rPr>
          <w:rFonts w:cs="Arial"/>
          <w:bCs/>
          <w:kern w:val="32"/>
          <w:szCs w:val="32"/>
        </w:rPr>
        <w:t>869m is slippage and £</w:t>
      </w:r>
      <w:r w:rsidR="009D4C10">
        <w:rPr>
          <w:rFonts w:cs="Arial"/>
          <w:bCs/>
          <w:kern w:val="32"/>
          <w:szCs w:val="32"/>
        </w:rPr>
        <w:t>2</w:t>
      </w:r>
      <w:r w:rsidR="00F4466E">
        <w:rPr>
          <w:rFonts w:cs="Arial"/>
          <w:bCs/>
          <w:kern w:val="32"/>
          <w:szCs w:val="32"/>
        </w:rPr>
        <w:t>13k</w:t>
      </w:r>
      <w:r w:rsidRPr="006B1DE1">
        <w:rPr>
          <w:rFonts w:cs="Arial"/>
          <w:bCs/>
          <w:kern w:val="32"/>
          <w:szCs w:val="32"/>
        </w:rPr>
        <w:t xml:space="preserve"> </w:t>
      </w:r>
      <w:r w:rsidR="00F4466E" w:rsidRPr="006B1DE1">
        <w:rPr>
          <w:rFonts w:cs="Arial"/>
          <w:bCs/>
          <w:kern w:val="32"/>
          <w:szCs w:val="32"/>
        </w:rPr>
        <w:t>underspends</w:t>
      </w:r>
      <w:r w:rsidRPr="006B1DE1">
        <w:rPr>
          <w:rFonts w:cs="Arial"/>
          <w:bCs/>
          <w:kern w:val="32"/>
          <w:szCs w:val="32"/>
        </w:rPr>
        <w:t>.</w:t>
      </w:r>
    </w:p>
    <w:p w:rsidR="002E14DC" w:rsidRPr="006B1DE1" w:rsidRDefault="002E14DC" w:rsidP="00D44E09">
      <w:pPr>
        <w:numPr>
          <w:ilvl w:val="0"/>
          <w:numId w:val="9"/>
        </w:numPr>
        <w:spacing w:after="240"/>
        <w:ind w:hanging="720"/>
        <w:rPr>
          <w:rFonts w:cs="Arial"/>
          <w:bCs/>
          <w:kern w:val="32"/>
          <w:szCs w:val="32"/>
        </w:rPr>
      </w:pPr>
      <w:r w:rsidRPr="006B1DE1">
        <w:rPr>
          <w:rFonts w:cs="Arial"/>
          <w:bCs/>
          <w:kern w:val="32"/>
          <w:szCs w:val="32"/>
        </w:rPr>
        <w:t>The following schemes in the programme will be slipped for the following reasons:</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 xml:space="preserve">MOSAIC Implementation - Once new IT provider has started, it will be possible to firm up spend projections, however as this is not due to take place until later in the financial year, only 50% is forecast to be spent by year end  (£305k) </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Remodelling and Refurbishment of Adult Residential and day Care properties – There is limited programme planned for Remodelling and Refurbishment this</w:t>
      </w:r>
      <w:r w:rsidR="007C4B86">
        <w:rPr>
          <w:rFonts w:cs="Arial"/>
          <w:bCs/>
          <w:kern w:val="32"/>
          <w:szCs w:val="32"/>
        </w:rPr>
        <w:t xml:space="preserve"> year, therefore slippage of (£</w:t>
      </w:r>
      <w:r w:rsidR="009D4C10">
        <w:rPr>
          <w:rFonts w:cs="Arial"/>
          <w:bCs/>
          <w:kern w:val="32"/>
          <w:szCs w:val="32"/>
        </w:rPr>
        <w:t>4</w:t>
      </w:r>
      <w:r w:rsidRPr="006B1DE1">
        <w:rPr>
          <w:rFonts w:cs="Arial"/>
          <w:bCs/>
          <w:kern w:val="32"/>
          <w:szCs w:val="32"/>
        </w:rPr>
        <w:t>22k) – The revenue implication of this is a risk of additional maintenance cost on ageing buildings.</w:t>
      </w:r>
    </w:p>
    <w:p w:rsidR="00E45D9C" w:rsidRDefault="00E45D9C" w:rsidP="00D44E09">
      <w:pPr>
        <w:numPr>
          <w:ilvl w:val="0"/>
          <w:numId w:val="9"/>
        </w:numPr>
        <w:spacing w:after="240"/>
        <w:ind w:hanging="720"/>
        <w:rPr>
          <w:rFonts w:cs="Arial"/>
          <w:bCs/>
          <w:kern w:val="32"/>
          <w:szCs w:val="32"/>
        </w:rPr>
      </w:pPr>
      <w:r w:rsidRPr="006B1DE1">
        <w:rPr>
          <w:rFonts w:cs="Arial"/>
          <w:bCs/>
          <w:kern w:val="32"/>
          <w:szCs w:val="32"/>
        </w:rPr>
        <w:t xml:space="preserve">Safeguarding Quality Assurance Quadrants (QAQ) - Planned programme of spend in year relates to server upgrade, this is dependent on work load of the new IT contractor and therefore it is </w:t>
      </w:r>
      <w:r w:rsidRPr="006B1DE1">
        <w:rPr>
          <w:rFonts w:cs="Arial"/>
          <w:bCs/>
          <w:kern w:val="32"/>
          <w:szCs w:val="32"/>
        </w:rPr>
        <w:lastRenderedPageBreak/>
        <w:t>estimated th</w:t>
      </w:r>
      <w:r w:rsidR="00F4466E">
        <w:rPr>
          <w:rFonts w:cs="Arial"/>
          <w:bCs/>
          <w:kern w:val="32"/>
          <w:szCs w:val="32"/>
        </w:rPr>
        <w:t>at there will be slippage of (£16</w:t>
      </w:r>
      <w:r w:rsidRPr="006B1DE1">
        <w:rPr>
          <w:rFonts w:cs="Arial"/>
          <w:bCs/>
          <w:kern w:val="32"/>
          <w:szCs w:val="32"/>
        </w:rPr>
        <w:t>8k). No direct revenue implication.</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 xml:space="preserve">Integrated Health Model – Planned spend on N3 connections. Connections relate to integration between Adult Social care and the NHS, reviewing of service team needs. As the project is in its early stages, it is anticipated that the majority of the budget will be slipped </w:t>
      </w:r>
      <w:r w:rsidR="00F4466E">
        <w:rPr>
          <w:rFonts w:cs="Arial"/>
          <w:bCs/>
          <w:kern w:val="32"/>
          <w:szCs w:val="32"/>
        </w:rPr>
        <w:t>into future financial years (£47</w:t>
      </w:r>
      <w:r w:rsidRPr="006B1DE1">
        <w:rPr>
          <w:rFonts w:cs="Arial"/>
          <w:bCs/>
          <w:kern w:val="32"/>
          <w:szCs w:val="32"/>
        </w:rPr>
        <w:t>2k). No quantifiable revenue implication, although greater co-ordination between NHS and Adult Services may bring efficiencies.</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Market Shaping &amp; Development – Relates to Care Act duty and collation of business intelligence for providers through IT. Planned programme of wo</w:t>
      </w:r>
      <w:r w:rsidR="00BA3E2F">
        <w:rPr>
          <w:rFonts w:cs="Arial"/>
          <w:bCs/>
          <w:kern w:val="32"/>
          <w:szCs w:val="32"/>
        </w:rPr>
        <w:t xml:space="preserve">rk for the year is (£100k) together with </w:t>
      </w:r>
      <w:r w:rsidR="008D67D6">
        <w:rPr>
          <w:rFonts w:cs="Arial"/>
          <w:bCs/>
          <w:kern w:val="32"/>
          <w:szCs w:val="32"/>
        </w:rPr>
        <w:t xml:space="preserve">the </w:t>
      </w:r>
      <w:r w:rsidR="008D67D6" w:rsidRPr="006B1DE1">
        <w:rPr>
          <w:rFonts w:cs="Arial"/>
          <w:bCs/>
          <w:kern w:val="32"/>
          <w:szCs w:val="32"/>
        </w:rPr>
        <w:t>remaining</w:t>
      </w:r>
      <w:r w:rsidRPr="006B1DE1">
        <w:rPr>
          <w:rFonts w:cs="Arial"/>
          <w:bCs/>
          <w:kern w:val="32"/>
          <w:szCs w:val="32"/>
        </w:rPr>
        <w:t xml:space="preserve"> </w:t>
      </w:r>
      <w:r w:rsidR="00F4466E">
        <w:rPr>
          <w:rFonts w:cs="Arial"/>
          <w:bCs/>
          <w:kern w:val="32"/>
          <w:szCs w:val="32"/>
        </w:rPr>
        <w:t>(</w:t>
      </w:r>
      <w:r w:rsidRPr="006B1DE1">
        <w:rPr>
          <w:rFonts w:cs="Arial"/>
          <w:bCs/>
          <w:kern w:val="32"/>
          <w:szCs w:val="32"/>
        </w:rPr>
        <w:t>£150k</w:t>
      </w:r>
      <w:r w:rsidR="00F4466E">
        <w:rPr>
          <w:rFonts w:cs="Arial"/>
          <w:bCs/>
          <w:kern w:val="32"/>
          <w:szCs w:val="32"/>
        </w:rPr>
        <w:t>)</w:t>
      </w:r>
      <w:r w:rsidRPr="006B1DE1">
        <w:rPr>
          <w:rFonts w:cs="Arial"/>
          <w:bCs/>
          <w:kern w:val="32"/>
          <w:szCs w:val="32"/>
        </w:rPr>
        <w:t xml:space="preserve"> is to be slipped. There is no direct revenue implication.</w:t>
      </w:r>
    </w:p>
    <w:p w:rsidR="00E45D9C" w:rsidRDefault="00E45D9C" w:rsidP="00D44E09">
      <w:pPr>
        <w:numPr>
          <w:ilvl w:val="0"/>
          <w:numId w:val="9"/>
        </w:numPr>
        <w:spacing w:after="240"/>
        <w:ind w:hanging="720"/>
        <w:rPr>
          <w:rFonts w:cs="Arial"/>
          <w:bCs/>
          <w:kern w:val="32"/>
          <w:szCs w:val="32"/>
        </w:rPr>
      </w:pPr>
      <w:r w:rsidRPr="006B1DE1">
        <w:rPr>
          <w:rFonts w:cs="Arial"/>
          <w:bCs/>
          <w:kern w:val="32"/>
          <w:szCs w:val="32"/>
        </w:rPr>
        <w:t xml:space="preserve">Maintenance of Adults Properties – This budget is unlikely to be spent in year and the entire budget of </w:t>
      </w:r>
      <w:r w:rsidR="00F4466E">
        <w:rPr>
          <w:rFonts w:cs="Arial"/>
          <w:bCs/>
          <w:kern w:val="32"/>
          <w:szCs w:val="32"/>
        </w:rPr>
        <w:t>(</w:t>
      </w:r>
      <w:r w:rsidR="00BA3E2F">
        <w:rPr>
          <w:rFonts w:cs="Arial"/>
          <w:bCs/>
          <w:kern w:val="32"/>
          <w:szCs w:val="32"/>
        </w:rPr>
        <w:t>£149</w:t>
      </w:r>
      <w:r w:rsidRPr="006B1DE1">
        <w:rPr>
          <w:rFonts w:cs="Arial"/>
          <w:bCs/>
          <w:kern w:val="32"/>
          <w:szCs w:val="32"/>
        </w:rPr>
        <w:t>k</w:t>
      </w:r>
      <w:r w:rsidR="00F4466E">
        <w:rPr>
          <w:rFonts w:cs="Arial"/>
          <w:bCs/>
          <w:kern w:val="32"/>
          <w:szCs w:val="32"/>
        </w:rPr>
        <w:t>)</w:t>
      </w:r>
      <w:r w:rsidRPr="006B1DE1">
        <w:rPr>
          <w:rFonts w:cs="Arial"/>
          <w:bCs/>
          <w:kern w:val="32"/>
          <w:szCs w:val="32"/>
        </w:rPr>
        <w:t xml:space="preserve"> is currently forecast to be slipped. This is effectively a contingency budget. No further revenue implication is forecast, as underspend against budget has already been forecast against remodelling and refurbishment of residential and day care properties.</w:t>
      </w:r>
    </w:p>
    <w:p w:rsidR="00723B7F" w:rsidRDefault="00BA3E2F" w:rsidP="00D44E09">
      <w:pPr>
        <w:numPr>
          <w:ilvl w:val="0"/>
          <w:numId w:val="9"/>
        </w:numPr>
        <w:spacing w:after="240"/>
        <w:ind w:hanging="720"/>
        <w:rPr>
          <w:rFonts w:cs="Arial"/>
          <w:bCs/>
          <w:kern w:val="32"/>
          <w:szCs w:val="32"/>
        </w:rPr>
      </w:pPr>
      <w:r w:rsidRPr="00374CD9">
        <w:rPr>
          <w:rFonts w:cs="Arial"/>
          <w:bCs/>
          <w:kern w:val="32"/>
          <w:szCs w:val="32"/>
        </w:rPr>
        <w:t xml:space="preserve">Quality Outcome for People with Dementia </w:t>
      </w:r>
      <w:r w:rsidR="009D4C10">
        <w:rPr>
          <w:rFonts w:cs="Arial"/>
          <w:bCs/>
          <w:kern w:val="32"/>
          <w:szCs w:val="32"/>
        </w:rPr>
        <w:t>(</w:t>
      </w:r>
      <w:r w:rsidR="00723B7F">
        <w:rPr>
          <w:rFonts w:cs="Arial"/>
          <w:bCs/>
          <w:kern w:val="32"/>
          <w:szCs w:val="32"/>
        </w:rPr>
        <w:t>£150k</w:t>
      </w:r>
      <w:r w:rsidR="009D4C10">
        <w:rPr>
          <w:rFonts w:cs="Arial"/>
          <w:bCs/>
          <w:kern w:val="32"/>
          <w:szCs w:val="32"/>
        </w:rPr>
        <w:t>)</w:t>
      </w:r>
      <w:r w:rsidR="00723B7F">
        <w:rPr>
          <w:rFonts w:cs="Arial"/>
          <w:bCs/>
          <w:kern w:val="32"/>
          <w:szCs w:val="32"/>
        </w:rPr>
        <w:t xml:space="preserve"> slippage.  This is a result of delays in developing detailed proposals for the project.</w:t>
      </w:r>
    </w:p>
    <w:p w:rsidR="007C4B86" w:rsidRDefault="00723B7F" w:rsidP="00D44E09">
      <w:pPr>
        <w:numPr>
          <w:ilvl w:val="0"/>
          <w:numId w:val="9"/>
        </w:numPr>
        <w:spacing w:after="240"/>
        <w:ind w:hanging="720"/>
        <w:rPr>
          <w:rFonts w:cs="Arial"/>
          <w:bCs/>
          <w:kern w:val="32"/>
          <w:szCs w:val="32"/>
        </w:rPr>
      </w:pPr>
      <w:r w:rsidRPr="007C4B86">
        <w:rPr>
          <w:rFonts w:cs="Arial"/>
          <w:bCs/>
          <w:kern w:val="32"/>
          <w:szCs w:val="32"/>
        </w:rPr>
        <w:t xml:space="preserve"> </w:t>
      </w:r>
      <w:r w:rsidR="008D67D6" w:rsidRPr="007C4B86">
        <w:rPr>
          <w:rFonts w:cs="Arial"/>
          <w:bCs/>
          <w:kern w:val="32"/>
          <w:szCs w:val="32"/>
        </w:rPr>
        <w:t xml:space="preserve">Reform Of Social Care Funding - Some software cost has been forecast, the remaining budget will be slipped into next financial year. </w:t>
      </w:r>
      <w:r w:rsidR="007C4B86" w:rsidRPr="007C4B86">
        <w:rPr>
          <w:rFonts w:cs="Arial"/>
          <w:bCs/>
          <w:kern w:val="32"/>
          <w:szCs w:val="32"/>
        </w:rPr>
        <w:t>(£755k)</w:t>
      </w:r>
      <w:r w:rsidR="007C4B86">
        <w:rPr>
          <w:rFonts w:cs="Arial"/>
          <w:bCs/>
          <w:kern w:val="32"/>
          <w:szCs w:val="32"/>
        </w:rPr>
        <w:t>.</w:t>
      </w:r>
    </w:p>
    <w:p w:rsidR="00AF135A" w:rsidRDefault="00AF135A" w:rsidP="00D44E09">
      <w:pPr>
        <w:numPr>
          <w:ilvl w:val="0"/>
          <w:numId w:val="9"/>
        </w:numPr>
        <w:spacing w:after="240"/>
        <w:ind w:hanging="720"/>
        <w:rPr>
          <w:rFonts w:cs="Arial"/>
          <w:bCs/>
          <w:kern w:val="32"/>
          <w:szCs w:val="32"/>
        </w:rPr>
      </w:pPr>
      <w:r>
        <w:rPr>
          <w:rFonts w:cs="Arial"/>
          <w:bCs/>
          <w:kern w:val="32"/>
          <w:szCs w:val="32"/>
        </w:rPr>
        <w:t xml:space="preserve">Adult Social Care Integration of IT Systems – This project is expected to deliver a financial assessment module </w:t>
      </w:r>
      <w:r w:rsidR="008D67D6">
        <w:rPr>
          <w:rFonts w:cs="Arial"/>
          <w:bCs/>
          <w:kern w:val="32"/>
          <w:szCs w:val="32"/>
        </w:rPr>
        <w:t>i.e.</w:t>
      </w:r>
      <w:r>
        <w:rPr>
          <w:rFonts w:cs="Arial"/>
          <w:bCs/>
          <w:kern w:val="32"/>
          <w:szCs w:val="32"/>
        </w:rPr>
        <w:t xml:space="preserve"> means testing. Change request is to go to capital forum to facilitate the conversion of Core logic software. Budget of (£66k) will be slipped.</w:t>
      </w:r>
    </w:p>
    <w:p w:rsidR="007C4B86" w:rsidRPr="007C4B86" w:rsidRDefault="007C4B86" w:rsidP="00D44E09">
      <w:pPr>
        <w:numPr>
          <w:ilvl w:val="0"/>
          <w:numId w:val="9"/>
        </w:numPr>
        <w:spacing w:after="240"/>
        <w:ind w:hanging="720"/>
        <w:rPr>
          <w:rFonts w:cs="Arial"/>
          <w:bCs/>
          <w:kern w:val="32"/>
          <w:szCs w:val="32"/>
        </w:rPr>
      </w:pPr>
      <w:r>
        <w:rPr>
          <w:rFonts w:cs="Arial"/>
          <w:bCs/>
          <w:kern w:val="32"/>
          <w:szCs w:val="32"/>
        </w:rPr>
        <w:t xml:space="preserve">Community Capacity Grant </w:t>
      </w:r>
      <w:proofErr w:type="gramStart"/>
      <w:r>
        <w:rPr>
          <w:rFonts w:cs="Arial"/>
          <w:bCs/>
          <w:kern w:val="32"/>
          <w:szCs w:val="32"/>
        </w:rPr>
        <w:t xml:space="preserve">-  </w:t>
      </w:r>
      <w:r w:rsidR="001A637F">
        <w:rPr>
          <w:rFonts w:cs="Arial"/>
          <w:bCs/>
          <w:kern w:val="32"/>
          <w:szCs w:val="32"/>
        </w:rPr>
        <w:t>Proposals</w:t>
      </w:r>
      <w:proofErr w:type="gramEnd"/>
      <w:r w:rsidR="001A637F">
        <w:rPr>
          <w:rFonts w:cs="Arial"/>
          <w:bCs/>
          <w:kern w:val="32"/>
          <w:szCs w:val="32"/>
        </w:rPr>
        <w:t xml:space="preserve"> to spend the grant are still being developed and it is anticipated that there will be no spend in the current year, giving slippage of </w:t>
      </w:r>
      <w:r w:rsidR="009D4C10">
        <w:rPr>
          <w:rFonts w:cs="Arial"/>
          <w:bCs/>
          <w:kern w:val="32"/>
          <w:szCs w:val="32"/>
        </w:rPr>
        <w:t>(</w:t>
      </w:r>
      <w:r w:rsidR="001A637F">
        <w:rPr>
          <w:rFonts w:cs="Arial"/>
          <w:bCs/>
          <w:kern w:val="32"/>
          <w:szCs w:val="32"/>
        </w:rPr>
        <w:t>£232k</w:t>
      </w:r>
      <w:r w:rsidR="009D4C10">
        <w:rPr>
          <w:rFonts w:cs="Arial"/>
          <w:bCs/>
          <w:kern w:val="32"/>
          <w:szCs w:val="32"/>
        </w:rPr>
        <w:t>)</w:t>
      </w:r>
      <w:r w:rsidR="001A637F">
        <w:rPr>
          <w:rFonts w:cs="Arial"/>
          <w:bCs/>
          <w:kern w:val="32"/>
          <w:szCs w:val="32"/>
        </w:rPr>
        <w:t>.</w:t>
      </w:r>
    </w:p>
    <w:p w:rsidR="00E45D9C" w:rsidRPr="006B1DE1" w:rsidRDefault="00E45D9C" w:rsidP="00D44E09">
      <w:pPr>
        <w:numPr>
          <w:ilvl w:val="0"/>
          <w:numId w:val="9"/>
        </w:numPr>
        <w:spacing w:after="240"/>
        <w:ind w:hanging="720"/>
        <w:rPr>
          <w:rFonts w:cs="Arial"/>
          <w:bCs/>
          <w:kern w:val="32"/>
          <w:szCs w:val="32"/>
        </w:rPr>
      </w:pPr>
      <w:r w:rsidRPr="006B1DE1">
        <w:rPr>
          <w:rFonts w:cs="Arial"/>
          <w:bCs/>
          <w:kern w:val="32"/>
          <w:szCs w:val="32"/>
        </w:rPr>
        <w:t xml:space="preserve">In addition to the slippage above the following schemes are </w:t>
      </w:r>
      <w:r w:rsidR="00BA3E2F" w:rsidRPr="006B1DE1">
        <w:rPr>
          <w:rFonts w:cs="Arial"/>
          <w:bCs/>
          <w:kern w:val="32"/>
          <w:szCs w:val="32"/>
        </w:rPr>
        <w:t>under spending</w:t>
      </w:r>
      <w:r w:rsidRPr="006B1DE1">
        <w:rPr>
          <w:rFonts w:cs="Arial"/>
          <w:bCs/>
          <w:kern w:val="32"/>
          <w:szCs w:val="32"/>
        </w:rPr>
        <w:t>;</w:t>
      </w:r>
    </w:p>
    <w:p w:rsidR="00E45D9C" w:rsidRDefault="00E45D9C" w:rsidP="00D44E09">
      <w:pPr>
        <w:numPr>
          <w:ilvl w:val="0"/>
          <w:numId w:val="9"/>
        </w:numPr>
        <w:spacing w:after="240"/>
        <w:ind w:hanging="720"/>
        <w:rPr>
          <w:rFonts w:cs="Arial"/>
          <w:bCs/>
          <w:kern w:val="32"/>
          <w:szCs w:val="32"/>
        </w:rPr>
      </w:pPr>
      <w:r w:rsidRPr="00E77F63">
        <w:rPr>
          <w:rFonts w:cs="Arial"/>
          <w:bCs/>
          <w:kern w:val="32"/>
          <w:szCs w:val="32"/>
        </w:rPr>
        <w:t>Carer’s Service charges (£200k) this is to be discontinued as work is no longer required against this project.</w:t>
      </w:r>
    </w:p>
    <w:p w:rsidR="00D81219" w:rsidRDefault="00D81219" w:rsidP="00D44E09">
      <w:pPr>
        <w:numPr>
          <w:ilvl w:val="0"/>
          <w:numId w:val="9"/>
        </w:numPr>
        <w:spacing w:after="240"/>
        <w:ind w:hanging="720"/>
        <w:rPr>
          <w:rFonts w:cs="Arial"/>
          <w:bCs/>
          <w:kern w:val="32"/>
          <w:szCs w:val="32"/>
        </w:rPr>
      </w:pPr>
      <w:r>
        <w:rPr>
          <w:rFonts w:cs="Arial"/>
          <w:bCs/>
          <w:kern w:val="32"/>
          <w:szCs w:val="32"/>
        </w:rPr>
        <w:t xml:space="preserve">Mental Health Supported Housing Repair </w:t>
      </w:r>
      <w:proofErr w:type="gramStart"/>
      <w:r>
        <w:rPr>
          <w:rFonts w:cs="Arial"/>
          <w:bCs/>
          <w:kern w:val="32"/>
          <w:szCs w:val="32"/>
        </w:rPr>
        <w:t>-  This</w:t>
      </w:r>
      <w:proofErr w:type="gramEnd"/>
      <w:r>
        <w:rPr>
          <w:rFonts w:cs="Arial"/>
          <w:bCs/>
          <w:kern w:val="32"/>
          <w:szCs w:val="32"/>
        </w:rPr>
        <w:t xml:space="preserve"> project</w:t>
      </w:r>
      <w:r w:rsidR="00A07300">
        <w:rPr>
          <w:rFonts w:cs="Arial"/>
          <w:bCs/>
          <w:kern w:val="32"/>
          <w:szCs w:val="32"/>
        </w:rPr>
        <w:t xml:space="preserve"> will be close by year </w:t>
      </w:r>
      <w:r w:rsidR="008D67D6">
        <w:rPr>
          <w:rFonts w:cs="Arial"/>
          <w:bCs/>
          <w:kern w:val="32"/>
          <w:szCs w:val="32"/>
        </w:rPr>
        <w:t>end (</w:t>
      </w:r>
      <w:r w:rsidR="00A07300">
        <w:rPr>
          <w:rFonts w:cs="Arial"/>
          <w:bCs/>
          <w:kern w:val="32"/>
          <w:szCs w:val="32"/>
        </w:rPr>
        <w:t>£13</w:t>
      </w:r>
      <w:r>
        <w:rPr>
          <w:rFonts w:cs="Arial"/>
          <w:bCs/>
          <w:kern w:val="32"/>
          <w:szCs w:val="32"/>
        </w:rPr>
        <w:t>k).</w:t>
      </w:r>
    </w:p>
    <w:p w:rsidR="002E14DC" w:rsidRPr="006B1DE1" w:rsidRDefault="002E14DC" w:rsidP="002E14DC">
      <w:pPr>
        <w:keepNext/>
        <w:spacing w:after="240"/>
        <w:outlineLvl w:val="1"/>
        <w:rPr>
          <w:rFonts w:cs="Arial"/>
          <w:b/>
          <w:bCs/>
          <w:kern w:val="32"/>
          <w:szCs w:val="32"/>
          <w:u w:val="single"/>
        </w:rPr>
      </w:pPr>
      <w:r>
        <w:rPr>
          <w:rFonts w:cs="Arial"/>
          <w:b/>
          <w:bCs/>
          <w:kern w:val="32"/>
          <w:szCs w:val="32"/>
          <w:u w:val="single"/>
        </w:rPr>
        <w:t>Schools</w:t>
      </w:r>
    </w:p>
    <w:p w:rsidR="002E14DC" w:rsidRDefault="00D04D30" w:rsidP="00D44E09">
      <w:pPr>
        <w:numPr>
          <w:ilvl w:val="0"/>
          <w:numId w:val="9"/>
        </w:numPr>
        <w:spacing w:after="240"/>
        <w:ind w:hanging="720"/>
        <w:rPr>
          <w:rFonts w:cs="Arial"/>
          <w:bCs/>
          <w:kern w:val="32"/>
          <w:szCs w:val="32"/>
        </w:rPr>
      </w:pPr>
      <w:r>
        <w:rPr>
          <w:rFonts w:cs="Arial"/>
          <w:bCs/>
          <w:kern w:val="32"/>
          <w:szCs w:val="32"/>
        </w:rPr>
        <w:t>As at Quarter 1 t</w:t>
      </w:r>
      <w:r w:rsidR="002E14DC" w:rsidRPr="006B1DE1">
        <w:rPr>
          <w:rFonts w:cs="Arial"/>
          <w:bCs/>
          <w:kern w:val="32"/>
          <w:szCs w:val="32"/>
        </w:rPr>
        <w:t xml:space="preserve">he forecast spend </w:t>
      </w:r>
      <w:r>
        <w:rPr>
          <w:rFonts w:cs="Arial"/>
          <w:bCs/>
          <w:kern w:val="32"/>
          <w:szCs w:val="32"/>
        </w:rPr>
        <w:t>was</w:t>
      </w:r>
      <w:r w:rsidR="002E14DC" w:rsidRPr="006B1DE1">
        <w:rPr>
          <w:rFonts w:cs="Arial"/>
          <w:bCs/>
          <w:kern w:val="32"/>
          <w:szCs w:val="32"/>
        </w:rPr>
        <w:t xml:space="preserve"> £61.917m</w:t>
      </w:r>
      <w:r>
        <w:rPr>
          <w:rFonts w:cs="Arial"/>
          <w:bCs/>
          <w:kern w:val="32"/>
          <w:szCs w:val="32"/>
        </w:rPr>
        <w:t xml:space="preserve">. </w:t>
      </w:r>
      <w:r w:rsidR="00411ADC">
        <w:rPr>
          <w:rFonts w:cs="Arial"/>
          <w:bCs/>
          <w:kern w:val="32"/>
          <w:szCs w:val="32"/>
        </w:rPr>
        <w:t>At Quarter 2 forecast is £51.173m 83</w:t>
      </w:r>
      <w:r w:rsidR="00824C92">
        <w:rPr>
          <w:rFonts w:cs="Arial"/>
          <w:bCs/>
          <w:kern w:val="32"/>
          <w:szCs w:val="32"/>
        </w:rPr>
        <w:t>% of the approved bud</w:t>
      </w:r>
      <w:r w:rsidR="00411ADC">
        <w:rPr>
          <w:rFonts w:cs="Arial"/>
          <w:bCs/>
          <w:kern w:val="32"/>
          <w:szCs w:val="32"/>
        </w:rPr>
        <w:t>get and 17</w:t>
      </w:r>
      <w:r>
        <w:rPr>
          <w:rFonts w:cs="Arial"/>
          <w:bCs/>
          <w:kern w:val="32"/>
          <w:szCs w:val="32"/>
        </w:rPr>
        <w:t xml:space="preserve">% reduction when compare to Quarter 1. </w:t>
      </w:r>
      <w:r w:rsidR="002E14DC" w:rsidRPr="006B1DE1">
        <w:rPr>
          <w:rFonts w:cs="Arial"/>
          <w:bCs/>
          <w:kern w:val="32"/>
          <w:szCs w:val="32"/>
        </w:rPr>
        <w:t xml:space="preserve"> The following paragraphs outline the progress on the schools programme.</w:t>
      </w:r>
    </w:p>
    <w:p w:rsidR="00D04D30" w:rsidRPr="00D04D30" w:rsidRDefault="008D67D6" w:rsidP="00D44E09">
      <w:pPr>
        <w:numPr>
          <w:ilvl w:val="0"/>
          <w:numId w:val="9"/>
        </w:numPr>
        <w:spacing w:after="240"/>
        <w:ind w:hanging="720"/>
        <w:rPr>
          <w:rFonts w:cs="Arial"/>
          <w:bCs/>
          <w:kern w:val="32"/>
          <w:szCs w:val="32"/>
        </w:rPr>
      </w:pPr>
      <w:r w:rsidRPr="00D04D30">
        <w:rPr>
          <w:rFonts w:cs="Arial"/>
          <w:bCs/>
          <w:kern w:val="32"/>
          <w:szCs w:val="32"/>
        </w:rPr>
        <w:lastRenderedPageBreak/>
        <w:t xml:space="preserve">The latest forecast provided by the cost consultants for School Expansion Programme SEP2 and some overhanging SEP1 projects has been received for August 2015. </w:t>
      </w:r>
      <w:r w:rsidR="00D04D30" w:rsidRPr="00D04D30">
        <w:rPr>
          <w:rFonts w:cs="Arial"/>
          <w:bCs/>
          <w:kern w:val="32"/>
          <w:szCs w:val="32"/>
        </w:rPr>
        <w:t>This is a fast moving operating across 18 school sites and there are a number of issues in the programme arising daily. They include items omitted/excluded from the Agreed Maximum Price (AMP) schedules, delays leading to additional costs including Plan B options for works not completed by September 2015 and a number of external unforeseen factors such as UK Power. Although the Council expects Keepmoat to meet the costs for delays and providing temporary mobile units, any additional costs that fall to the Council as a result of these delays will create pressure on the programme budget which is also exposed to other cost increases.</w:t>
      </w:r>
    </w:p>
    <w:p w:rsidR="00D04D30" w:rsidRPr="006B1DE1" w:rsidRDefault="00D04D30" w:rsidP="00D44E09">
      <w:pPr>
        <w:numPr>
          <w:ilvl w:val="0"/>
          <w:numId w:val="9"/>
        </w:numPr>
        <w:spacing w:after="240"/>
        <w:ind w:hanging="720"/>
        <w:rPr>
          <w:rFonts w:cs="Arial"/>
          <w:bCs/>
          <w:kern w:val="32"/>
          <w:szCs w:val="32"/>
        </w:rPr>
      </w:pPr>
      <w:r w:rsidRPr="00D04D30">
        <w:rPr>
          <w:rFonts w:cs="Arial"/>
          <w:bCs/>
          <w:kern w:val="32"/>
          <w:szCs w:val="32"/>
        </w:rPr>
        <w:t>All the projects are live and the accounts need clarifying and agreeing with Keepmoat before the final position is confirmed.  It is anticipated the worst case scenario forecast figures will not all come to fruition and that the programme will still be affordable within the budget. However, the programme is continually changing and therefore there is still a risk to this budge</w:t>
      </w:r>
      <w:r w:rsidR="00374CD9">
        <w:rPr>
          <w:rFonts w:cs="Arial"/>
          <w:bCs/>
          <w:kern w:val="32"/>
          <w:szCs w:val="32"/>
        </w:rPr>
        <w:t>t.</w:t>
      </w:r>
    </w:p>
    <w:p w:rsidR="002E14DC" w:rsidRPr="006B1DE1" w:rsidRDefault="002E14DC" w:rsidP="002E14DC">
      <w:pPr>
        <w:ind w:right="-483"/>
        <w:rPr>
          <w:rFonts w:cs="Arial"/>
          <w:b/>
          <w:szCs w:val="24"/>
        </w:rPr>
      </w:pPr>
      <w:r w:rsidRPr="006B1DE1">
        <w:rPr>
          <w:rFonts w:cs="Arial"/>
          <w:b/>
          <w:szCs w:val="24"/>
        </w:rPr>
        <w:t>Primary Expansion Programme</w:t>
      </w:r>
    </w:p>
    <w:p w:rsidR="002E14DC" w:rsidRPr="006B1DE1" w:rsidRDefault="002E14DC" w:rsidP="00D44E09">
      <w:pPr>
        <w:numPr>
          <w:ilvl w:val="0"/>
          <w:numId w:val="9"/>
        </w:numPr>
        <w:spacing w:after="240"/>
        <w:ind w:hanging="720"/>
        <w:rPr>
          <w:rFonts w:cs="Arial"/>
          <w:szCs w:val="24"/>
        </w:rPr>
      </w:pPr>
      <w:r w:rsidRPr="00374CD9">
        <w:rPr>
          <w:rFonts w:cs="Arial"/>
          <w:bCs/>
          <w:kern w:val="32"/>
          <w:szCs w:val="32"/>
        </w:rPr>
        <w:t>Until</w:t>
      </w:r>
      <w:r w:rsidRPr="006B1DE1">
        <w:rPr>
          <w:rFonts w:cs="Arial"/>
          <w:szCs w:val="24"/>
        </w:rPr>
        <w:t xml:space="preserve"> the free schools are definitely established, the existing capital programme assumes none of the primary free schools are delivered. If the free schools are delivered, the need for Phase 4 expansions in the capital programme would be reviewed.</w:t>
      </w:r>
    </w:p>
    <w:p w:rsidR="002E14DC" w:rsidRPr="006B1DE1" w:rsidRDefault="002E14DC" w:rsidP="002E14DC">
      <w:pPr>
        <w:ind w:right="-483"/>
        <w:rPr>
          <w:rFonts w:cs="Arial"/>
          <w:b/>
          <w:szCs w:val="24"/>
        </w:rPr>
      </w:pPr>
      <w:r w:rsidRPr="006B1DE1">
        <w:rPr>
          <w:rFonts w:cs="Arial"/>
          <w:b/>
          <w:szCs w:val="24"/>
        </w:rPr>
        <w:t>Phase 3</w:t>
      </w:r>
    </w:p>
    <w:p w:rsidR="00D04D30" w:rsidRPr="00374CD9" w:rsidRDefault="00D04D30" w:rsidP="00D44E09">
      <w:pPr>
        <w:numPr>
          <w:ilvl w:val="0"/>
          <w:numId w:val="9"/>
        </w:numPr>
        <w:spacing w:after="240"/>
        <w:ind w:hanging="720"/>
        <w:rPr>
          <w:rFonts w:cs="Arial"/>
          <w:bCs/>
          <w:kern w:val="32"/>
          <w:szCs w:val="32"/>
        </w:rPr>
      </w:pPr>
      <w:r w:rsidRPr="00374CD9">
        <w:rPr>
          <w:rFonts w:cs="Arial"/>
          <w:bCs/>
          <w:kern w:val="32"/>
          <w:szCs w:val="32"/>
        </w:rPr>
        <w:t>All SEP3 schools are on very confined sites within heavily residential areas. Consequently this brings additional challenges to the building programme with enhanced planning requirements mainly around traffic and the size and type of building planning will allow. Furthermore, due to works having to be carried out whilst schools are in occupation means the building process will be longer which impacts on project costs.</w:t>
      </w:r>
    </w:p>
    <w:p w:rsidR="00D04D30" w:rsidRPr="00D04D30" w:rsidRDefault="00D04D30" w:rsidP="00D44E09">
      <w:pPr>
        <w:numPr>
          <w:ilvl w:val="0"/>
          <w:numId w:val="9"/>
        </w:numPr>
        <w:spacing w:after="240"/>
        <w:ind w:hanging="720"/>
        <w:rPr>
          <w:rFonts w:cs="Arial"/>
        </w:rPr>
      </w:pPr>
      <w:r w:rsidRPr="00374CD9">
        <w:rPr>
          <w:rFonts w:cs="Arial"/>
          <w:bCs/>
          <w:kern w:val="32"/>
          <w:szCs w:val="32"/>
        </w:rPr>
        <w:t xml:space="preserve">The current construction market in the UK and in particular in London is extremely buoyant with many construction firms working to capacity and will full order books. Because of this the cost of construction related </w:t>
      </w:r>
      <w:proofErr w:type="gramStart"/>
      <w:r w:rsidRPr="00374CD9">
        <w:rPr>
          <w:rFonts w:cs="Arial"/>
          <w:bCs/>
          <w:kern w:val="32"/>
          <w:szCs w:val="32"/>
        </w:rPr>
        <w:t>materials,</w:t>
      </w:r>
      <w:proofErr w:type="gramEnd"/>
      <w:r w:rsidRPr="00374CD9">
        <w:rPr>
          <w:rFonts w:cs="Arial"/>
          <w:bCs/>
          <w:kern w:val="32"/>
          <w:szCs w:val="32"/>
        </w:rPr>
        <w:t xml:space="preserve"> labour and professional services are at a premium</w:t>
      </w:r>
      <w:r w:rsidRPr="00374CD9">
        <w:rPr>
          <w:rFonts w:cs="Arial"/>
          <w:szCs w:val="24"/>
        </w:rPr>
        <w:t>. This means the current SEP3 budget has had to rise to keep pace with the rising costs of the London construction market. A virement from Phase 4 to Phase 3 was agreed</w:t>
      </w:r>
      <w:r w:rsidRPr="00D04D30">
        <w:rPr>
          <w:rFonts w:cs="Arial"/>
        </w:rPr>
        <w:t xml:space="preserve"> by Cabinet in September 2015.</w:t>
      </w:r>
    </w:p>
    <w:p w:rsidR="002E14DC" w:rsidRPr="006B1DE1" w:rsidRDefault="002E14DC" w:rsidP="002E14DC">
      <w:pPr>
        <w:ind w:right="-483"/>
        <w:rPr>
          <w:rFonts w:cs="Arial"/>
          <w:b/>
          <w:szCs w:val="24"/>
        </w:rPr>
      </w:pPr>
      <w:r w:rsidRPr="006B1DE1">
        <w:rPr>
          <w:rFonts w:cs="Arial"/>
          <w:b/>
          <w:szCs w:val="24"/>
        </w:rPr>
        <w:t>Phase 4</w:t>
      </w:r>
    </w:p>
    <w:p w:rsidR="00D04D30" w:rsidRPr="00D04D30" w:rsidRDefault="00D04D30" w:rsidP="00D44E09">
      <w:pPr>
        <w:numPr>
          <w:ilvl w:val="0"/>
          <w:numId w:val="9"/>
        </w:numPr>
        <w:spacing w:after="240"/>
        <w:ind w:hanging="720"/>
        <w:rPr>
          <w:rFonts w:cs="Arial"/>
        </w:rPr>
      </w:pPr>
      <w:r w:rsidRPr="00374CD9">
        <w:rPr>
          <w:rFonts w:cs="Arial"/>
          <w:bCs/>
          <w:kern w:val="32"/>
          <w:szCs w:val="32"/>
        </w:rPr>
        <w:t>T</w:t>
      </w:r>
      <w:r w:rsidRPr="00D04D30">
        <w:rPr>
          <w:rFonts w:cs="Arial"/>
        </w:rPr>
        <w:t xml:space="preserve">here are currently 4 primary expansion programme budgets approved in the capital programme. As stated above, if the free schools are delivered, there may not need to be a phase 4 of the primary expansion programme. </w:t>
      </w:r>
    </w:p>
    <w:p w:rsidR="002E14DC" w:rsidRDefault="00D04D30" w:rsidP="002E14DC">
      <w:pPr>
        <w:spacing w:after="240"/>
        <w:ind w:right="-483"/>
        <w:rPr>
          <w:rFonts w:cs="Arial"/>
          <w:b/>
          <w:szCs w:val="24"/>
        </w:rPr>
      </w:pPr>
      <w:r>
        <w:rPr>
          <w:rFonts w:cs="Arial"/>
          <w:b/>
          <w:szCs w:val="24"/>
        </w:rPr>
        <w:t>Quarter 2</w:t>
      </w:r>
      <w:r w:rsidR="002E14DC" w:rsidRPr="006B1DE1">
        <w:rPr>
          <w:rFonts w:cs="Arial"/>
          <w:b/>
          <w:szCs w:val="24"/>
        </w:rPr>
        <w:t xml:space="preserve"> forecast</w:t>
      </w:r>
    </w:p>
    <w:p w:rsidR="00D04D30" w:rsidRPr="00FC5C00" w:rsidRDefault="00D04D30" w:rsidP="00D44E09">
      <w:pPr>
        <w:numPr>
          <w:ilvl w:val="0"/>
          <w:numId w:val="9"/>
        </w:numPr>
        <w:spacing w:after="240"/>
        <w:ind w:hanging="720"/>
      </w:pPr>
      <w:r w:rsidRPr="00374CD9">
        <w:rPr>
          <w:rFonts w:cs="Arial"/>
        </w:rPr>
        <w:t>As</w:t>
      </w:r>
      <w:r w:rsidRPr="00FC5C00">
        <w:t xml:space="preserve"> at Quarter </w:t>
      </w:r>
      <w:r>
        <w:t>2</w:t>
      </w:r>
      <w:r w:rsidRPr="00FC5C00">
        <w:t xml:space="preserve"> the directorate is predicting to spend </w:t>
      </w:r>
      <w:r w:rsidR="00E634A6">
        <w:t>approximately 83</w:t>
      </w:r>
      <w:r>
        <w:t xml:space="preserve">% of </w:t>
      </w:r>
      <w:r w:rsidRPr="00FC5C00">
        <w:t>the total capital programme by 31</w:t>
      </w:r>
      <w:r w:rsidRPr="00FC5C00">
        <w:rPr>
          <w:vertAlign w:val="superscript"/>
        </w:rPr>
        <w:t>st</w:t>
      </w:r>
      <w:r w:rsidRPr="00FC5C00">
        <w:t xml:space="preserve"> March 2016. SEP1, SEP2, secondary and SEN expansion programmes, which form over 75% of the total 2015-16 budget </w:t>
      </w:r>
      <w:r>
        <w:t>delivered</w:t>
      </w:r>
      <w:r w:rsidRPr="00FC5C00">
        <w:t xml:space="preserve"> places by September 2015. Whilst </w:t>
      </w:r>
      <w:r w:rsidRPr="00FC5C00">
        <w:lastRenderedPageBreak/>
        <w:t xml:space="preserve">there </w:t>
      </w:r>
      <w:r>
        <w:t>have been</w:t>
      </w:r>
      <w:r w:rsidRPr="00FC5C00">
        <w:t xml:space="preserve"> some delays to some of these schemes, it is anticipated that the final accounts will be settled by March 2016. Contracts for the SEP3 budget are anticipated to be awarded in early autumn </w:t>
      </w:r>
      <w:r>
        <w:t>and therefore the majority of this in year budget is anticipated to slip into next financial year.</w:t>
      </w:r>
      <w:r w:rsidRPr="00FC5C00">
        <w:t xml:space="preserve"> </w:t>
      </w:r>
    </w:p>
    <w:p w:rsidR="002E14DC" w:rsidRPr="006B1DE1" w:rsidRDefault="002E14DC" w:rsidP="002E14DC">
      <w:r w:rsidRPr="006B1DE1">
        <w:rPr>
          <w:rFonts w:cs="Arial"/>
          <w:b/>
          <w:szCs w:val="24"/>
        </w:rPr>
        <w:t>Basic Need allocations 2017-18 and additional funding 2015-17</w:t>
      </w:r>
    </w:p>
    <w:p w:rsidR="002E14DC" w:rsidRPr="006B1DE1" w:rsidRDefault="002E14DC" w:rsidP="00D44E09">
      <w:pPr>
        <w:numPr>
          <w:ilvl w:val="0"/>
          <w:numId w:val="9"/>
        </w:numPr>
        <w:spacing w:after="240"/>
        <w:ind w:hanging="720"/>
        <w:rPr>
          <w:rFonts w:cs="Arial"/>
          <w:szCs w:val="24"/>
        </w:rPr>
      </w:pPr>
      <w:r w:rsidRPr="006B1DE1">
        <w:t>On 12 February 2015, the Department for Education announced the latest Basic Need allocations.  In addition to the 2017-18 new allocation, the Government has allocated “top up” funding in 2015-16 and 2016-17 to distribute £300 million held back for those local authorities with unexpected increases in forecast pupils.  Local authorities which have reported an increase in their forecast of total pupil numbers for academic year 2017-18 of at least 2% and 250 pupils receive a portion of this funding in 2015-16 and 2016-17, to reflect their unexpected increase in need. Harrow is one of only four London boroughs to successfully receive top up funding in these years and an increase in allocations over future years, totalling £19.6m, over and above the current capital programme. This funding is not yet included in the capital programme. This additional funding will be considered as part of the capital programme review to be presented to Cabinet in December 2015.</w:t>
      </w:r>
    </w:p>
    <w:p w:rsidR="002E14DC" w:rsidRDefault="002E14DC" w:rsidP="00741AEB">
      <w:pPr>
        <w:spacing w:after="240"/>
        <w:rPr>
          <w:b/>
          <w:u w:val="single"/>
        </w:rPr>
      </w:pPr>
      <w:r>
        <w:rPr>
          <w:b/>
          <w:u w:val="single"/>
        </w:rPr>
        <w:t>REGENERATION</w:t>
      </w:r>
    </w:p>
    <w:bookmarkEnd w:id="6"/>
    <w:p w:rsidR="00E35125" w:rsidRDefault="00D04D30" w:rsidP="00D44E09">
      <w:pPr>
        <w:numPr>
          <w:ilvl w:val="0"/>
          <w:numId w:val="9"/>
        </w:numPr>
        <w:spacing w:after="240"/>
        <w:ind w:hanging="720"/>
      </w:pPr>
      <w:r>
        <w:t>At Quarter 2, Regeneration and Planning Division spent</w:t>
      </w:r>
      <w:r w:rsidR="00E35125">
        <w:t xml:space="preserve"> is forecasting £4.151m 93% of the approve capital programme. </w:t>
      </w:r>
    </w:p>
    <w:p w:rsidR="00A85FA8" w:rsidRPr="00374CD9" w:rsidRDefault="00A85FA8" w:rsidP="00D44E09">
      <w:pPr>
        <w:numPr>
          <w:ilvl w:val="0"/>
          <w:numId w:val="9"/>
        </w:numPr>
        <w:spacing w:after="240"/>
        <w:ind w:hanging="720"/>
      </w:pPr>
      <w:r>
        <w:t>The 2015/16 capital budget for Regeneration Programme was increased by £2.2m following Cabinet and Council approvals in September, as part of the wider report to progress on the re-development of two of the key strategic sites. Plans are put in place and work is underway to utilise this additional funding on the procurement of design teams for Station Road Quarter and Wealdstone new civic centre site, master planning for various other strategic sites, and additional procurement, project and programme support. Part of this funding will also be used as part of land.</w:t>
      </w:r>
    </w:p>
    <w:p w:rsidR="00A85FA8" w:rsidRDefault="00A85FA8" w:rsidP="00D44E09">
      <w:pPr>
        <w:numPr>
          <w:ilvl w:val="0"/>
          <w:numId w:val="9"/>
        </w:numPr>
        <w:spacing w:after="240"/>
        <w:ind w:hanging="720"/>
      </w:pPr>
      <w:r>
        <w:t>The Division forecast to spend £4.15m (or 93%) on this year’s budget allocation. The main reasons for slippage are as follows:</w:t>
      </w:r>
    </w:p>
    <w:p w:rsidR="00A85FA8" w:rsidRDefault="00A85FA8" w:rsidP="00D44E09">
      <w:pPr>
        <w:numPr>
          <w:ilvl w:val="0"/>
          <w:numId w:val="9"/>
        </w:numPr>
        <w:spacing w:after="240"/>
        <w:ind w:hanging="720"/>
      </w:pPr>
      <w:r>
        <w:t xml:space="preserve">The procurement route for the Wealdstone site design team is via OJEU notice which will take a number of weeks before a preferred supplier can be identified and contract awarded, and therefore a spend below budget is anticipated and a slippage of £200k is forecast to reflect a more realistic and achievable delivery timescale. </w:t>
      </w:r>
    </w:p>
    <w:p w:rsidR="00A85FA8" w:rsidRDefault="00A85FA8" w:rsidP="00D44E09">
      <w:pPr>
        <w:numPr>
          <w:ilvl w:val="0"/>
          <w:numId w:val="9"/>
        </w:numPr>
        <w:spacing w:after="240"/>
        <w:ind w:hanging="720"/>
      </w:pPr>
      <w:r>
        <w:t xml:space="preserve">The site acquisition in Wealdstone is at a critical stage and subject to on-going review. </w:t>
      </w:r>
    </w:p>
    <w:p w:rsidR="00A85FA8" w:rsidRDefault="00A85FA8" w:rsidP="00D44E09">
      <w:pPr>
        <w:numPr>
          <w:ilvl w:val="0"/>
          <w:numId w:val="9"/>
        </w:numPr>
        <w:spacing w:after="240"/>
        <w:ind w:hanging="720"/>
      </w:pPr>
      <w:r>
        <w:t xml:space="preserve">The full utilisation of the budget allocated for Leisure Centre and Greenhill Way will depend on whether work/further study is being progressed this year which is subject to advice and/or agreement by Regeneration Board. At Q2, £50k is forecast to slip to 2016/17. </w:t>
      </w:r>
    </w:p>
    <w:p w:rsidR="00A85FA8" w:rsidRDefault="00A85FA8" w:rsidP="00D44E09">
      <w:pPr>
        <w:numPr>
          <w:ilvl w:val="0"/>
          <w:numId w:val="9"/>
        </w:numPr>
        <w:spacing w:after="240"/>
        <w:ind w:hanging="720"/>
      </w:pPr>
      <w:r>
        <w:lastRenderedPageBreak/>
        <w:t>Project, Programme and Procurement support required to take the schemes forward is being reviewed and internal and external recruitment to increase fixed term and temporary project management resource is progressing well with additional people to start in November and December. At this stage, £70k is forecast to slip to 2016/17.</w:t>
      </w:r>
    </w:p>
    <w:p w:rsidR="00741AEB" w:rsidRPr="006B1DE1" w:rsidRDefault="00741AEB" w:rsidP="00741AEB">
      <w:pPr>
        <w:rPr>
          <w:b/>
          <w:u w:val="single"/>
        </w:rPr>
      </w:pPr>
      <w:r w:rsidRPr="006B1DE1">
        <w:rPr>
          <w:b/>
          <w:u w:val="single"/>
        </w:rPr>
        <w:t>Housing Revenue Account</w:t>
      </w:r>
    </w:p>
    <w:p w:rsidR="00095755" w:rsidRPr="00374CD9" w:rsidRDefault="00741AEB" w:rsidP="00D44E09">
      <w:pPr>
        <w:numPr>
          <w:ilvl w:val="0"/>
          <w:numId w:val="9"/>
        </w:numPr>
        <w:spacing w:after="240"/>
        <w:ind w:hanging="720"/>
      </w:pPr>
      <w:r w:rsidRPr="00374CD9">
        <w:t xml:space="preserve">As at Quarter 1 the spend forecast is £23.571m, 99% of the 2015/16 HRA’s latest capital Budget. </w:t>
      </w:r>
      <w:r w:rsidR="00A85FA8" w:rsidRPr="00374CD9">
        <w:t xml:space="preserve"> At Quarter 2 the revised forecast is £1</w:t>
      </w:r>
      <w:r w:rsidR="00250C20">
        <w:t>8.</w:t>
      </w:r>
      <w:r w:rsidR="00A83A77">
        <w:t>766</w:t>
      </w:r>
      <w:r w:rsidR="00A85FA8" w:rsidRPr="00374CD9">
        <w:t xml:space="preserve">m </w:t>
      </w:r>
      <w:r w:rsidR="009759D8">
        <w:t>6</w:t>
      </w:r>
      <w:r w:rsidR="00A83A77">
        <w:t>3</w:t>
      </w:r>
      <w:r w:rsidR="00A85FA8" w:rsidRPr="00374CD9">
        <w:t xml:space="preserve">% of the </w:t>
      </w:r>
      <w:r w:rsidR="00076343" w:rsidRPr="00374CD9">
        <w:t xml:space="preserve">approved capital budget </w:t>
      </w:r>
      <w:r w:rsidR="00A85FA8" w:rsidRPr="00374CD9">
        <w:t xml:space="preserve">and a significant reduction </w:t>
      </w:r>
      <w:r w:rsidR="00095755" w:rsidRPr="00374CD9">
        <w:t>when compare to Quarter 1.</w:t>
      </w:r>
    </w:p>
    <w:p w:rsidR="00095755" w:rsidRPr="00374CD9" w:rsidRDefault="00741AEB" w:rsidP="00D44E09">
      <w:pPr>
        <w:numPr>
          <w:ilvl w:val="0"/>
          <w:numId w:val="9"/>
        </w:numPr>
        <w:spacing w:after="240"/>
        <w:ind w:hanging="720"/>
      </w:pPr>
      <w:r w:rsidRPr="00374CD9">
        <w:t xml:space="preserve">The forecast under spend </w:t>
      </w:r>
      <w:r w:rsidR="00095755" w:rsidRPr="00374CD9">
        <w:t>is</w:t>
      </w:r>
      <w:r w:rsidRPr="00374CD9">
        <w:t xml:space="preserve"> £</w:t>
      </w:r>
      <w:r w:rsidR="00095755" w:rsidRPr="00374CD9">
        <w:t>1</w:t>
      </w:r>
      <w:r w:rsidR="009759D8">
        <w:t>1</w:t>
      </w:r>
      <w:r w:rsidR="00095755" w:rsidRPr="00374CD9">
        <w:t>.</w:t>
      </w:r>
      <w:r w:rsidR="00A83A77">
        <w:t>233</w:t>
      </w:r>
      <w:r w:rsidR="00095755" w:rsidRPr="00374CD9">
        <w:t>m</w:t>
      </w:r>
      <w:r w:rsidRPr="00374CD9">
        <w:t xml:space="preserve"> </w:t>
      </w:r>
      <w:r w:rsidR="00095755" w:rsidRPr="00374CD9">
        <w:t>of which £1</w:t>
      </w:r>
      <w:r w:rsidR="009759D8">
        <w:t>0.</w:t>
      </w:r>
      <w:r w:rsidR="00A83A77">
        <w:t>635</w:t>
      </w:r>
      <w:r w:rsidR="00095755" w:rsidRPr="00374CD9">
        <w:t xml:space="preserve">m will be slipped into 16/17 while £598k </w:t>
      </w:r>
      <w:r w:rsidR="00076343" w:rsidRPr="00374CD9">
        <w:t>will not be required this year.</w:t>
      </w:r>
      <w:r w:rsidRPr="00374CD9">
        <w:t xml:space="preserve">  </w:t>
      </w:r>
    </w:p>
    <w:p w:rsidR="00741AEB" w:rsidRDefault="00741AEB" w:rsidP="00D44E09">
      <w:pPr>
        <w:numPr>
          <w:ilvl w:val="0"/>
          <w:numId w:val="9"/>
        </w:numPr>
        <w:spacing w:after="240"/>
        <w:ind w:hanging="720"/>
        <w:rPr>
          <w:rFonts w:cs="Arial"/>
          <w:bCs/>
          <w:kern w:val="32"/>
          <w:szCs w:val="32"/>
        </w:rPr>
      </w:pPr>
      <w:r w:rsidRPr="00374CD9">
        <w:t>This project is in relation to investment in Council owned housing stock</w:t>
      </w:r>
      <w:r w:rsidRPr="00D44E09">
        <w:t xml:space="preserve"> - financed entirely from HRA, underspend/slippage will have no revenue impact on HRA as majority of financing is by way of a pre-determ</w:t>
      </w:r>
      <w:r w:rsidRPr="006B1DE1">
        <w:rPr>
          <w:rFonts w:cs="Arial"/>
          <w:bCs/>
          <w:kern w:val="32"/>
          <w:szCs w:val="32"/>
        </w:rPr>
        <w:t xml:space="preserve">ined charge to revenue which transfers resources to earmarked capital reserves. </w:t>
      </w:r>
    </w:p>
    <w:p w:rsidR="00095755" w:rsidRDefault="00095755" w:rsidP="00095755">
      <w:pPr>
        <w:ind w:left="360"/>
        <w:rPr>
          <w:rFonts w:cs="Arial"/>
          <w:b/>
          <w:bCs/>
          <w:kern w:val="32"/>
          <w:szCs w:val="32"/>
          <w:u w:val="single"/>
        </w:rPr>
      </w:pPr>
      <w:r w:rsidRPr="00095755">
        <w:rPr>
          <w:rFonts w:cs="Arial"/>
          <w:b/>
          <w:bCs/>
          <w:kern w:val="32"/>
          <w:szCs w:val="32"/>
          <w:u w:val="single"/>
        </w:rPr>
        <w:t>HRA Affor</w:t>
      </w:r>
      <w:r>
        <w:rPr>
          <w:rFonts w:cs="Arial"/>
          <w:b/>
          <w:bCs/>
          <w:kern w:val="32"/>
          <w:szCs w:val="32"/>
          <w:u w:val="single"/>
        </w:rPr>
        <w:t xml:space="preserve">dable Housing (Homes 4Harrow) </w:t>
      </w:r>
    </w:p>
    <w:p w:rsidR="00095755" w:rsidRDefault="00095755" w:rsidP="00095755">
      <w:pPr>
        <w:ind w:left="360"/>
        <w:rPr>
          <w:rFonts w:cs="Arial"/>
          <w:b/>
          <w:bCs/>
          <w:kern w:val="32"/>
          <w:szCs w:val="32"/>
          <w:u w:val="single"/>
        </w:rPr>
      </w:pPr>
    </w:p>
    <w:p w:rsidR="00A00233" w:rsidRPr="00374CD9" w:rsidRDefault="00600637" w:rsidP="00D44E09">
      <w:pPr>
        <w:numPr>
          <w:ilvl w:val="0"/>
          <w:numId w:val="9"/>
        </w:numPr>
        <w:spacing w:after="240"/>
        <w:ind w:hanging="720"/>
      </w:pPr>
      <w:r w:rsidRPr="00374CD9">
        <w:t xml:space="preserve">It has always need anticipated that there will be need to review  the completion time </w:t>
      </w:r>
      <w:r w:rsidR="00A00233" w:rsidRPr="00374CD9">
        <w:t xml:space="preserve">for this project </w:t>
      </w:r>
      <w:r w:rsidRPr="00374CD9">
        <w:t xml:space="preserve">once there is active engage in the market submission as a result of adverse feedback from initial </w:t>
      </w:r>
      <w:r w:rsidR="00A00233" w:rsidRPr="00374CD9">
        <w:t xml:space="preserve">residential </w:t>
      </w:r>
      <w:r w:rsidRPr="00374CD9">
        <w:t>consultation</w:t>
      </w:r>
      <w:r w:rsidR="00A00233" w:rsidRPr="00374CD9">
        <w:t>.</w:t>
      </w:r>
    </w:p>
    <w:p w:rsidR="00600637" w:rsidRDefault="00A00233" w:rsidP="00D44E09">
      <w:pPr>
        <w:numPr>
          <w:ilvl w:val="0"/>
          <w:numId w:val="9"/>
        </w:numPr>
        <w:spacing w:after="240"/>
        <w:ind w:hanging="720"/>
        <w:rPr>
          <w:rFonts w:cs="Arial"/>
          <w:bCs/>
          <w:kern w:val="32"/>
          <w:szCs w:val="32"/>
        </w:rPr>
      </w:pPr>
      <w:r w:rsidRPr="00374CD9">
        <w:t>There was also a need for additional</w:t>
      </w:r>
      <w:r w:rsidR="00600637" w:rsidRPr="00374CD9">
        <w:t xml:space="preserve"> clarifications </w:t>
      </w:r>
      <w:r w:rsidRPr="00374CD9">
        <w:t>on</w:t>
      </w:r>
      <w:r w:rsidR="00600637" w:rsidRPr="00374CD9">
        <w:t xml:space="preserve"> tender</w:t>
      </w:r>
      <w:r w:rsidRPr="00374CD9">
        <w:t>s</w:t>
      </w:r>
      <w:r w:rsidR="00600637" w:rsidRPr="00374CD9">
        <w:t xml:space="preserve"> for the first build contract as a result of significantly higher tender prices being </w:t>
      </w:r>
      <w:r w:rsidRPr="00374CD9">
        <w:t>received;</w:t>
      </w:r>
      <w:r w:rsidR="00600637" w:rsidRPr="00374CD9">
        <w:t xml:space="preserve"> this in turn has lead delay in letting the contract and subsequent</w:t>
      </w:r>
      <w:r w:rsidR="00600637">
        <w:rPr>
          <w:rFonts w:cs="Arial"/>
          <w:bCs/>
          <w:kern w:val="32"/>
          <w:szCs w:val="32"/>
        </w:rPr>
        <w:t xml:space="preserve"> delay in planning permission.</w:t>
      </w:r>
    </w:p>
    <w:p w:rsidR="00741AEB" w:rsidRPr="006B1DE1" w:rsidRDefault="00741AEB" w:rsidP="00741AEB">
      <w:pPr>
        <w:pStyle w:val="Heading2"/>
      </w:pPr>
      <w:r w:rsidRPr="006B1DE1">
        <w:t>Addition</w:t>
      </w:r>
      <w:r w:rsidR="005813FE">
        <w:t>s</w:t>
      </w:r>
      <w:r w:rsidRPr="006B1DE1">
        <w:t xml:space="preserve"> to the Capital Programme</w:t>
      </w:r>
    </w:p>
    <w:p w:rsidR="00741AEB" w:rsidRDefault="00907203" w:rsidP="00D44E09">
      <w:pPr>
        <w:numPr>
          <w:ilvl w:val="0"/>
          <w:numId w:val="9"/>
        </w:numPr>
        <w:spacing w:after="240"/>
        <w:ind w:hanging="720"/>
      </w:pPr>
      <w:r w:rsidRPr="00907203">
        <w:t>A budget of £2</w:t>
      </w:r>
      <w:r>
        <w:t>.074m</w:t>
      </w:r>
      <w:r w:rsidRPr="00907203">
        <w:t xml:space="preserve"> for </w:t>
      </w:r>
      <w:r>
        <w:t xml:space="preserve">the </w:t>
      </w:r>
      <w:r w:rsidRPr="00907203">
        <w:t xml:space="preserve">TfL funded Local Implementation Plan (LIP) was included in the original 15/16 capital programme based on our best knowledge of what the funding allocation would be for the year. From time to time during the course of the financial year, it is not uncommon that there are re-allocations of budgets between agreed schemes, and/or new schemes added to the Programme following agreements from TfL. The latest total estimated capital cost for </w:t>
      </w:r>
      <w:r>
        <w:t xml:space="preserve">the </w:t>
      </w:r>
      <w:r w:rsidRPr="00907203">
        <w:t>15/16 LIP are £2</w:t>
      </w:r>
      <w:r>
        <w:t>.124m</w:t>
      </w:r>
      <w:r w:rsidRPr="00907203">
        <w:t xml:space="preserve">, which will be fully funded from TfL grant. </w:t>
      </w:r>
      <w:r w:rsidR="00594CCD" w:rsidRPr="00594CCD">
        <w:t>Similarly the 15/16 actual costs in relation to 14/15 completed LIP were £</w:t>
      </w:r>
      <w:r w:rsidR="00594CCD">
        <w:t>0.</w:t>
      </w:r>
      <w:r w:rsidR="00594CCD" w:rsidRPr="00594CCD">
        <w:t>720</w:t>
      </w:r>
      <w:r w:rsidR="00594CCD">
        <w:t>m</w:t>
      </w:r>
      <w:r w:rsidR="00594CCD" w:rsidRPr="00594CCD">
        <w:t xml:space="preserve"> for which the full amount ha</w:t>
      </w:r>
      <w:r w:rsidR="00594CCD">
        <w:t>s</w:t>
      </w:r>
      <w:r w:rsidR="00594CCD" w:rsidRPr="00594CCD">
        <w:t xml:space="preserve"> been claimed back from TfL. The budget for these 14/15 schemes should be aligned to match actual costs. </w:t>
      </w:r>
      <w:r w:rsidRPr="00907203">
        <w:t>T</w:t>
      </w:r>
      <w:r w:rsidR="00594CCD">
        <w:t>ogether, these</w:t>
      </w:r>
      <w:r w:rsidRPr="00907203">
        <w:t xml:space="preserve"> represent an increase in capital budget of £</w:t>
      </w:r>
      <w:r w:rsidR="00594CCD">
        <w:t>106</w:t>
      </w:r>
      <w:r w:rsidRPr="00907203">
        <w:t>K on the current programme</w:t>
      </w:r>
      <w:r>
        <w:t>, and it is recommended that Cabinet approve this addition</w:t>
      </w:r>
      <w:r w:rsidRPr="00907203">
        <w:t>.</w:t>
      </w:r>
    </w:p>
    <w:p w:rsidR="005813FE" w:rsidRPr="006B1DE1" w:rsidRDefault="005813FE" w:rsidP="00D44E09">
      <w:pPr>
        <w:numPr>
          <w:ilvl w:val="0"/>
          <w:numId w:val="9"/>
        </w:numPr>
        <w:spacing w:after="240"/>
        <w:ind w:hanging="720"/>
      </w:pPr>
      <w:r w:rsidRPr="005813FE">
        <w:t>A budget of £256</w:t>
      </w:r>
      <w:r>
        <w:t>k</w:t>
      </w:r>
      <w:r w:rsidRPr="005813FE">
        <w:t xml:space="preserve"> for HRA Grants to Move was included in the 15/16 original capital programme which has subsequently been increased to £350</w:t>
      </w:r>
      <w:r>
        <w:t xml:space="preserve">k, by virement </w:t>
      </w:r>
      <w:r w:rsidRPr="005813FE">
        <w:t xml:space="preserve">as a result of increased demand. The budget is used to assist secure Council tenants in purchasing their own properties thereby releasing Council stock for utilisation in accordance </w:t>
      </w:r>
      <w:r w:rsidRPr="005813FE">
        <w:lastRenderedPageBreak/>
        <w:t>with the Council’s approved allocation policy. Additional grant funding has been identified which will permit an additional £240</w:t>
      </w:r>
      <w:r>
        <w:t>k</w:t>
      </w:r>
      <w:r w:rsidRPr="005813FE">
        <w:t xml:space="preserve"> of these grants to be awarded which will expedite this initiative, and it is recommended that Cabinet approve this addition.</w:t>
      </w:r>
    </w:p>
    <w:p w:rsidR="00741AEB" w:rsidRPr="006B1DE1" w:rsidRDefault="00741AEB" w:rsidP="00741AEB">
      <w:pPr>
        <w:rPr>
          <w:b/>
          <w:sz w:val="28"/>
          <w:szCs w:val="28"/>
        </w:rPr>
      </w:pPr>
      <w:r w:rsidRPr="006B1DE1">
        <w:rPr>
          <w:b/>
          <w:sz w:val="28"/>
          <w:szCs w:val="28"/>
        </w:rPr>
        <w:t>Legal Implications</w:t>
      </w:r>
    </w:p>
    <w:p w:rsidR="00741AEB" w:rsidRPr="00374CD9" w:rsidRDefault="00741AEB" w:rsidP="00D44E09">
      <w:pPr>
        <w:numPr>
          <w:ilvl w:val="0"/>
          <w:numId w:val="9"/>
        </w:numPr>
        <w:spacing w:after="240"/>
        <w:ind w:hanging="720"/>
      </w:pPr>
      <w:r w:rsidRPr="00374CD9">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w:t>
      </w:r>
      <w:r w:rsidR="007E2E17" w:rsidRPr="00374CD9">
        <w:t>G</w:t>
      </w:r>
      <w:r w:rsidRPr="00374CD9">
        <w:t xml:space="preserve">overnment Act 2003 imposes a statutory duty on a billing or major precepting authority to monitor, during the financial year, its income and expenditure against budget calculations. </w:t>
      </w:r>
    </w:p>
    <w:p w:rsidR="00741AEB" w:rsidRPr="00E6414C" w:rsidRDefault="00741AEB" w:rsidP="00D44E09">
      <w:pPr>
        <w:numPr>
          <w:ilvl w:val="0"/>
          <w:numId w:val="9"/>
        </w:numPr>
        <w:spacing w:after="240"/>
        <w:ind w:hanging="720"/>
        <w:rPr>
          <w:szCs w:val="24"/>
        </w:rPr>
      </w:pPr>
      <w:r w:rsidRPr="00374CD9">
        <w:t>Under Allocation of Responsibilities in the Constitution, C</w:t>
      </w:r>
      <w:r w:rsidR="00E2312A" w:rsidRPr="00374CD9">
        <w:t>ouncil</w:t>
      </w:r>
      <w:r w:rsidRPr="00374CD9">
        <w:t xml:space="preserve"> is responsible for all decisions, which are expected to result in variations to agreed revenue or capital budgets.  Cabinet must agree, or delegate agreement for all virements between budgets as set by the Finan</w:t>
      </w:r>
      <w:r w:rsidRPr="006B1DE1">
        <w:rPr>
          <w:rFonts w:cs="Arial"/>
          <w:szCs w:val="24"/>
          <w:lang w:eastAsia="en-GB"/>
        </w:rPr>
        <w:t>cial Regulations.</w:t>
      </w:r>
    </w:p>
    <w:p w:rsidR="00E6414C" w:rsidRPr="006A6C96" w:rsidRDefault="00E6414C" w:rsidP="00E6414C">
      <w:pPr>
        <w:numPr>
          <w:ilvl w:val="0"/>
          <w:numId w:val="9"/>
        </w:numPr>
        <w:spacing w:after="240"/>
        <w:ind w:hanging="720"/>
        <w:rPr>
          <w:szCs w:val="24"/>
        </w:rPr>
      </w:pPr>
      <w:r>
        <w:t>Under the Council’s Financial Regulations, additions of up to £500k to the capital programme can be made by Cabinet in respect of specific projects where:</w:t>
      </w:r>
    </w:p>
    <w:p w:rsidR="00E6414C" w:rsidRPr="004F40B6" w:rsidRDefault="00E6414C" w:rsidP="00E6414C">
      <w:pPr>
        <w:numPr>
          <w:ilvl w:val="1"/>
          <w:numId w:val="9"/>
        </w:numPr>
        <w:spacing w:after="240"/>
        <w:rPr>
          <w:szCs w:val="24"/>
        </w:rPr>
      </w:pPr>
      <w:r>
        <w:rPr>
          <w:rFonts w:ascii="ArialMT" w:hAnsi="ArialMT" w:cs="ArialMT"/>
          <w:szCs w:val="24"/>
          <w:lang w:eastAsia="en-GB"/>
        </w:rPr>
        <w:t>the expenditure is wholly covered by additional external sources;</w:t>
      </w:r>
    </w:p>
    <w:p w:rsidR="00E6414C" w:rsidRPr="004F40B6" w:rsidRDefault="00E6414C" w:rsidP="00E6414C">
      <w:pPr>
        <w:pStyle w:val="ListParagraph"/>
        <w:numPr>
          <w:ilvl w:val="1"/>
          <w:numId w:val="9"/>
        </w:numPr>
        <w:autoSpaceDE w:val="0"/>
        <w:autoSpaceDN w:val="0"/>
        <w:adjustRightInd w:val="0"/>
        <w:spacing w:after="240"/>
        <w:rPr>
          <w:szCs w:val="24"/>
        </w:rPr>
      </w:pPr>
      <w:r w:rsidRPr="004F40B6">
        <w:rPr>
          <w:rFonts w:ascii="ArialMT" w:hAnsi="ArialMT" w:cs="ArialMT"/>
          <w:szCs w:val="24"/>
          <w:lang w:eastAsia="en-GB"/>
        </w:rPr>
        <w:t>the expenditure is in accordance with at least one of the priorities listed in the capital</w:t>
      </w:r>
      <w:r w:rsidRPr="006A6C96">
        <w:rPr>
          <w:rFonts w:ascii="ArialMT" w:hAnsi="ArialMT" w:cs="ArialMT"/>
          <w:szCs w:val="24"/>
          <w:lang w:eastAsia="en-GB"/>
        </w:rPr>
        <w:t xml:space="preserve"> programme</w:t>
      </w:r>
      <w:r>
        <w:rPr>
          <w:rFonts w:ascii="ArialMT" w:hAnsi="ArialMT" w:cs="ArialMT"/>
          <w:szCs w:val="24"/>
          <w:lang w:eastAsia="en-GB"/>
        </w:rPr>
        <w:t>; and</w:t>
      </w:r>
    </w:p>
    <w:p w:rsidR="00E6414C" w:rsidRPr="004F40B6" w:rsidRDefault="00E6414C" w:rsidP="00E6414C">
      <w:pPr>
        <w:pStyle w:val="ListParagraph"/>
        <w:numPr>
          <w:ilvl w:val="1"/>
          <w:numId w:val="9"/>
        </w:numPr>
        <w:autoSpaceDE w:val="0"/>
        <w:autoSpaceDN w:val="0"/>
        <w:adjustRightInd w:val="0"/>
        <w:spacing w:after="240"/>
        <w:rPr>
          <w:szCs w:val="24"/>
        </w:rPr>
      </w:pPr>
      <w:r>
        <w:rPr>
          <w:rFonts w:ascii="ArialMT" w:hAnsi="ArialMT" w:cs="ArialMT"/>
          <w:szCs w:val="24"/>
          <w:lang w:eastAsia="en-GB"/>
        </w:rPr>
        <w:t>there are no significant full year revenue budget effects</w:t>
      </w:r>
    </w:p>
    <w:p w:rsidR="00E6414C" w:rsidRPr="006B1DE1" w:rsidRDefault="00E6414C" w:rsidP="00E6414C">
      <w:pPr>
        <w:autoSpaceDE w:val="0"/>
        <w:autoSpaceDN w:val="0"/>
        <w:adjustRightInd w:val="0"/>
        <w:spacing w:after="240"/>
        <w:ind w:left="709"/>
        <w:rPr>
          <w:szCs w:val="24"/>
        </w:rPr>
      </w:pPr>
      <w:r>
        <w:rPr>
          <w:szCs w:val="24"/>
        </w:rPr>
        <w:t xml:space="preserve">This provision is subject to an overall limit of £2.5m in any one financial year. </w:t>
      </w:r>
    </w:p>
    <w:p w:rsidR="00741AEB" w:rsidRPr="006B1DE1" w:rsidRDefault="00741AEB" w:rsidP="00741AEB">
      <w:pPr>
        <w:pStyle w:val="ListParagraph"/>
        <w:spacing w:after="240"/>
        <w:ind w:hanging="786"/>
        <w:rPr>
          <w:b/>
          <w:sz w:val="28"/>
          <w:szCs w:val="28"/>
        </w:rPr>
      </w:pPr>
      <w:r w:rsidRPr="006B1DE1">
        <w:rPr>
          <w:b/>
          <w:sz w:val="28"/>
          <w:szCs w:val="28"/>
        </w:rPr>
        <w:t>Equalities</w:t>
      </w:r>
    </w:p>
    <w:p w:rsidR="00741AEB" w:rsidRPr="00374CD9" w:rsidRDefault="00741AEB" w:rsidP="00D44E09">
      <w:pPr>
        <w:numPr>
          <w:ilvl w:val="0"/>
          <w:numId w:val="9"/>
        </w:numPr>
        <w:spacing w:after="240"/>
        <w:ind w:hanging="720"/>
      </w:pPr>
      <w:r w:rsidRPr="00374CD9">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741AEB" w:rsidRPr="006B1DE1" w:rsidRDefault="00741AEB" w:rsidP="00D44E09">
      <w:pPr>
        <w:numPr>
          <w:ilvl w:val="0"/>
          <w:numId w:val="9"/>
        </w:numPr>
        <w:spacing w:after="240"/>
        <w:ind w:hanging="720"/>
        <w:rPr>
          <w:szCs w:val="24"/>
        </w:rPr>
      </w:pPr>
      <w:r w:rsidRPr="00374CD9">
        <w:t>A public authority must, in the exercise of its functions, have due regard to the</w:t>
      </w:r>
      <w:r w:rsidRPr="006B1DE1">
        <w:rPr>
          <w:szCs w:val="24"/>
        </w:rPr>
        <w:t xml:space="preserve"> need to:</w:t>
      </w:r>
    </w:p>
    <w:p w:rsidR="00741AEB" w:rsidRPr="006B1DE1" w:rsidRDefault="00741AEB" w:rsidP="00741AEB">
      <w:pPr>
        <w:pStyle w:val="ListParagraph"/>
        <w:spacing w:after="240"/>
        <w:jc w:val="both"/>
        <w:rPr>
          <w:szCs w:val="24"/>
        </w:rPr>
      </w:pPr>
      <w:r w:rsidRPr="006B1DE1">
        <w:rPr>
          <w:szCs w:val="24"/>
        </w:rPr>
        <w:t xml:space="preserve">(a)     </w:t>
      </w:r>
      <w:proofErr w:type="gramStart"/>
      <w:r w:rsidRPr="006B1DE1">
        <w:rPr>
          <w:szCs w:val="24"/>
        </w:rPr>
        <w:t>eliminate</w:t>
      </w:r>
      <w:proofErr w:type="gramEnd"/>
      <w:r w:rsidRPr="006B1DE1">
        <w:rPr>
          <w:szCs w:val="24"/>
        </w:rPr>
        <w:t xml:space="preserve"> discrimination, harassment, victimisation and any other conduct that is prohibited by or under this Act;</w:t>
      </w:r>
    </w:p>
    <w:p w:rsidR="00741AEB" w:rsidRPr="006B1DE1" w:rsidRDefault="00741AEB" w:rsidP="00741AEB">
      <w:pPr>
        <w:spacing w:after="240"/>
        <w:ind w:left="720"/>
        <w:jc w:val="both"/>
        <w:rPr>
          <w:szCs w:val="24"/>
        </w:rPr>
      </w:pPr>
      <w:r w:rsidRPr="006B1DE1">
        <w:rPr>
          <w:szCs w:val="24"/>
        </w:rPr>
        <w:t xml:space="preserve">(b)     </w:t>
      </w:r>
      <w:proofErr w:type="gramStart"/>
      <w:r w:rsidRPr="006B1DE1">
        <w:rPr>
          <w:szCs w:val="24"/>
        </w:rPr>
        <w:t>advance</w:t>
      </w:r>
      <w:proofErr w:type="gramEnd"/>
      <w:r w:rsidRPr="006B1DE1">
        <w:rPr>
          <w:szCs w:val="24"/>
        </w:rPr>
        <w:t xml:space="preserve"> equality of opportunity between persons who share a relevant protected characteristic and persons who do not share it;</w:t>
      </w:r>
    </w:p>
    <w:p w:rsidR="00741AEB" w:rsidRPr="006B1DE1" w:rsidRDefault="00741AEB" w:rsidP="00741AEB">
      <w:pPr>
        <w:spacing w:after="240"/>
        <w:ind w:left="720"/>
        <w:jc w:val="both"/>
        <w:rPr>
          <w:szCs w:val="24"/>
        </w:rPr>
      </w:pPr>
      <w:r w:rsidRPr="006B1DE1">
        <w:rPr>
          <w:szCs w:val="24"/>
        </w:rPr>
        <w:lastRenderedPageBreak/>
        <w:t xml:space="preserve">(c)     </w:t>
      </w:r>
      <w:proofErr w:type="gramStart"/>
      <w:r w:rsidRPr="006B1DE1">
        <w:rPr>
          <w:szCs w:val="24"/>
        </w:rPr>
        <w:t>foster</w:t>
      </w:r>
      <w:proofErr w:type="gramEnd"/>
      <w:r w:rsidRPr="006B1DE1">
        <w:rPr>
          <w:szCs w:val="24"/>
        </w:rPr>
        <w:t xml:space="preserve"> good relations between persons who share a relevant protected characteristic and persons who do not share it.</w:t>
      </w:r>
    </w:p>
    <w:p w:rsidR="00741AEB" w:rsidRPr="006B1DE1" w:rsidRDefault="00741AEB" w:rsidP="00D44E09">
      <w:pPr>
        <w:numPr>
          <w:ilvl w:val="0"/>
          <w:numId w:val="9"/>
        </w:numPr>
        <w:spacing w:after="240"/>
        <w:ind w:hanging="720"/>
        <w:rPr>
          <w:szCs w:val="24"/>
        </w:rPr>
      </w:pPr>
      <w:r w:rsidRPr="006B1DE1">
        <w:rPr>
          <w:szCs w:val="24"/>
        </w:rPr>
        <w:t>Having due regard to the need to advance equality of opportunity between persons who share a relevant protected characteristic and persons who do not share it involves having due regard, in particular, to the need to:</w:t>
      </w:r>
    </w:p>
    <w:p w:rsidR="00741AEB" w:rsidRPr="006B1DE1" w:rsidRDefault="00741AEB" w:rsidP="00741AEB">
      <w:pPr>
        <w:spacing w:after="240"/>
        <w:ind w:left="720"/>
        <w:jc w:val="both"/>
        <w:rPr>
          <w:szCs w:val="24"/>
        </w:rPr>
      </w:pPr>
      <w:r w:rsidRPr="006B1DE1">
        <w:rPr>
          <w:szCs w:val="24"/>
        </w:rPr>
        <w:t xml:space="preserve">(a)     </w:t>
      </w:r>
      <w:proofErr w:type="gramStart"/>
      <w:r w:rsidRPr="006B1DE1">
        <w:rPr>
          <w:szCs w:val="24"/>
        </w:rPr>
        <w:t>remove</w:t>
      </w:r>
      <w:proofErr w:type="gramEnd"/>
      <w:r w:rsidRPr="006B1DE1">
        <w:rPr>
          <w:szCs w:val="24"/>
        </w:rPr>
        <w:t xml:space="preserve"> or minimise disadvantages suffered by persons who share a relevant protected characteristic that are connected to that characteristic;</w:t>
      </w:r>
    </w:p>
    <w:p w:rsidR="00741AEB" w:rsidRPr="006B1DE1" w:rsidRDefault="00741AEB" w:rsidP="00741AEB">
      <w:pPr>
        <w:spacing w:after="240"/>
        <w:ind w:left="720"/>
        <w:jc w:val="both"/>
        <w:rPr>
          <w:szCs w:val="24"/>
        </w:rPr>
      </w:pPr>
      <w:r w:rsidRPr="006B1DE1">
        <w:rPr>
          <w:szCs w:val="24"/>
        </w:rPr>
        <w:t xml:space="preserve">(b)       </w:t>
      </w:r>
      <w:proofErr w:type="gramStart"/>
      <w:r w:rsidRPr="006B1DE1">
        <w:rPr>
          <w:szCs w:val="24"/>
        </w:rPr>
        <w:t>take</w:t>
      </w:r>
      <w:proofErr w:type="gramEnd"/>
      <w:r w:rsidRPr="006B1DE1">
        <w:rPr>
          <w:szCs w:val="24"/>
        </w:rPr>
        <w:t xml:space="preserve"> steps to meet the needs of persons who share a relevant protected characteristic that are different from the needs of persons who do not share it;</w:t>
      </w:r>
    </w:p>
    <w:p w:rsidR="00741AEB" w:rsidRPr="006B1DE1" w:rsidRDefault="00741AEB" w:rsidP="00741AEB">
      <w:pPr>
        <w:spacing w:after="240"/>
        <w:ind w:left="720"/>
        <w:jc w:val="both"/>
        <w:rPr>
          <w:szCs w:val="24"/>
        </w:rPr>
      </w:pPr>
      <w:r w:rsidRPr="006B1DE1">
        <w:rPr>
          <w:szCs w:val="24"/>
        </w:rPr>
        <w:t xml:space="preserve">(c)    </w:t>
      </w:r>
      <w:proofErr w:type="gramStart"/>
      <w:r w:rsidRPr="006B1DE1">
        <w:rPr>
          <w:szCs w:val="24"/>
        </w:rPr>
        <w:t>encourage</w:t>
      </w:r>
      <w:proofErr w:type="gramEnd"/>
      <w:r w:rsidRPr="006B1DE1">
        <w:rPr>
          <w:szCs w:val="24"/>
        </w:rPr>
        <w:t xml:space="preserve"> persons who share a relevant protected characteristic to participate in public life or in any other activity in which participation by such persons is disproportionately low.</w:t>
      </w:r>
    </w:p>
    <w:p w:rsidR="00741AEB" w:rsidRPr="006B1DE1" w:rsidRDefault="00741AEB" w:rsidP="00D44E09">
      <w:pPr>
        <w:numPr>
          <w:ilvl w:val="0"/>
          <w:numId w:val="9"/>
        </w:numPr>
        <w:spacing w:after="240"/>
        <w:ind w:hanging="720"/>
        <w:rPr>
          <w:szCs w:val="24"/>
        </w:rPr>
      </w:pPr>
      <w:r w:rsidRPr="006B1DE1">
        <w:rPr>
          <w:szCs w:val="24"/>
        </w:rPr>
        <w:t>The steps involved in meeting the needs of disabled persons that are different from the needs of persons who are not disabled include, in particular, steps to take account of disabled persons’ disabilities.</w:t>
      </w:r>
    </w:p>
    <w:p w:rsidR="00741AEB" w:rsidRPr="006B1DE1" w:rsidRDefault="00741AEB" w:rsidP="00D44E09">
      <w:pPr>
        <w:numPr>
          <w:ilvl w:val="0"/>
          <w:numId w:val="9"/>
        </w:numPr>
        <w:spacing w:after="240"/>
        <w:ind w:hanging="720"/>
        <w:rPr>
          <w:szCs w:val="24"/>
        </w:rPr>
      </w:pPr>
      <w:r w:rsidRPr="006B1DE1">
        <w:rPr>
          <w:szCs w:val="24"/>
        </w:rPr>
        <w:t>Having due regard to the need to foster good relations between persons who share a relevant protected characteristic and persons who do not share it involves having due regard, in particular, to the need to:</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Tackle prejudice, and</w:t>
      </w:r>
    </w:p>
    <w:p w:rsidR="00741AEB" w:rsidRPr="006B1DE1" w:rsidRDefault="00741AEB" w:rsidP="002774F4">
      <w:pPr>
        <w:pStyle w:val="ListParagraph"/>
        <w:numPr>
          <w:ilvl w:val="3"/>
          <w:numId w:val="6"/>
        </w:numPr>
        <w:spacing w:after="240"/>
        <w:ind w:left="851" w:hanging="425"/>
        <w:jc w:val="both"/>
        <w:rPr>
          <w:szCs w:val="24"/>
        </w:rPr>
      </w:pPr>
      <w:r w:rsidRPr="006B1DE1">
        <w:rPr>
          <w:szCs w:val="24"/>
        </w:rPr>
        <w:t>Promote understanding.</w:t>
      </w:r>
    </w:p>
    <w:p w:rsidR="00741AEB" w:rsidRPr="006B1DE1" w:rsidRDefault="00741AEB" w:rsidP="00D44E09">
      <w:pPr>
        <w:numPr>
          <w:ilvl w:val="0"/>
          <w:numId w:val="9"/>
        </w:numPr>
        <w:spacing w:after="240"/>
        <w:ind w:hanging="720"/>
        <w:rPr>
          <w:szCs w:val="24"/>
        </w:rPr>
      </w:pPr>
      <w:r w:rsidRPr="006B1DE1">
        <w:rPr>
          <w:szCs w:val="24"/>
        </w:rPr>
        <w:t>Compliance with the duties in this section may involve treating some persons more favourably than others; but that is not to be taken as permitting conduct that would otherwise be prohibited by or under this Act. The relevant protected characteristics are:</w:t>
      </w:r>
    </w:p>
    <w:p w:rsidR="00741AEB" w:rsidRPr="006B1DE1" w:rsidRDefault="00741AEB" w:rsidP="002774F4">
      <w:pPr>
        <w:pStyle w:val="ListParagraph"/>
        <w:numPr>
          <w:ilvl w:val="0"/>
          <w:numId w:val="5"/>
        </w:numPr>
        <w:spacing w:after="240"/>
        <w:jc w:val="both"/>
        <w:rPr>
          <w:szCs w:val="24"/>
        </w:rPr>
      </w:pPr>
      <w:r w:rsidRPr="006B1DE1">
        <w:rPr>
          <w:szCs w:val="24"/>
        </w:rPr>
        <w:t>Age</w:t>
      </w:r>
    </w:p>
    <w:p w:rsidR="00741AEB" w:rsidRPr="006B1DE1" w:rsidRDefault="00741AEB" w:rsidP="002774F4">
      <w:pPr>
        <w:pStyle w:val="ListParagraph"/>
        <w:numPr>
          <w:ilvl w:val="0"/>
          <w:numId w:val="5"/>
        </w:numPr>
        <w:spacing w:after="240"/>
        <w:jc w:val="both"/>
        <w:rPr>
          <w:szCs w:val="24"/>
        </w:rPr>
      </w:pPr>
      <w:r w:rsidRPr="006B1DE1">
        <w:rPr>
          <w:szCs w:val="24"/>
        </w:rPr>
        <w:t>Disability</w:t>
      </w:r>
    </w:p>
    <w:p w:rsidR="00741AEB" w:rsidRPr="006B1DE1" w:rsidRDefault="00741AEB" w:rsidP="002774F4">
      <w:pPr>
        <w:pStyle w:val="ListParagraph"/>
        <w:numPr>
          <w:ilvl w:val="0"/>
          <w:numId w:val="5"/>
        </w:numPr>
        <w:spacing w:after="240"/>
        <w:jc w:val="both"/>
        <w:rPr>
          <w:szCs w:val="24"/>
        </w:rPr>
      </w:pPr>
      <w:r w:rsidRPr="006B1DE1">
        <w:rPr>
          <w:szCs w:val="24"/>
        </w:rPr>
        <w:t>Gender reassignment</w:t>
      </w:r>
    </w:p>
    <w:p w:rsidR="00741AEB" w:rsidRPr="006B1DE1" w:rsidRDefault="00741AEB" w:rsidP="002774F4">
      <w:pPr>
        <w:pStyle w:val="ListParagraph"/>
        <w:numPr>
          <w:ilvl w:val="0"/>
          <w:numId w:val="5"/>
        </w:numPr>
        <w:spacing w:after="240"/>
        <w:jc w:val="both"/>
        <w:rPr>
          <w:szCs w:val="24"/>
        </w:rPr>
      </w:pPr>
      <w:r w:rsidRPr="006B1DE1">
        <w:rPr>
          <w:szCs w:val="24"/>
        </w:rPr>
        <w:t>Pregnancy and maternity</w:t>
      </w:r>
    </w:p>
    <w:p w:rsidR="00741AEB" w:rsidRPr="006B1DE1" w:rsidRDefault="00741AEB" w:rsidP="002774F4">
      <w:pPr>
        <w:pStyle w:val="ListParagraph"/>
        <w:numPr>
          <w:ilvl w:val="0"/>
          <w:numId w:val="5"/>
        </w:numPr>
        <w:spacing w:after="240"/>
        <w:jc w:val="both"/>
        <w:rPr>
          <w:szCs w:val="24"/>
        </w:rPr>
      </w:pPr>
      <w:r w:rsidRPr="006B1DE1">
        <w:rPr>
          <w:szCs w:val="24"/>
        </w:rPr>
        <w:t>Race,</w:t>
      </w:r>
    </w:p>
    <w:p w:rsidR="00741AEB" w:rsidRPr="006B1DE1" w:rsidRDefault="00741AEB" w:rsidP="002774F4">
      <w:pPr>
        <w:pStyle w:val="ListParagraph"/>
        <w:numPr>
          <w:ilvl w:val="0"/>
          <w:numId w:val="5"/>
        </w:numPr>
        <w:spacing w:after="240"/>
        <w:jc w:val="both"/>
        <w:rPr>
          <w:szCs w:val="24"/>
        </w:rPr>
      </w:pPr>
      <w:r w:rsidRPr="006B1DE1">
        <w:rPr>
          <w:szCs w:val="24"/>
        </w:rPr>
        <w:t>Religion or belief</w:t>
      </w:r>
    </w:p>
    <w:p w:rsidR="00741AEB" w:rsidRPr="006B1DE1" w:rsidRDefault="00741AEB" w:rsidP="002774F4">
      <w:pPr>
        <w:pStyle w:val="ListParagraph"/>
        <w:numPr>
          <w:ilvl w:val="0"/>
          <w:numId w:val="5"/>
        </w:numPr>
        <w:spacing w:after="240"/>
        <w:jc w:val="both"/>
        <w:rPr>
          <w:szCs w:val="24"/>
        </w:rPr>
      </w:pPr>
      <w:r w:rsidRPr="006B1DE1">
        <w:rPr>
          <w:szCs w:val="24"/>
        </w:rPr>
        <w:t>Sex</w:t>
      </w:r>
    </w:p>
    <w:p w:rsidR="00741AEB" w:rsidRPr="006B1DE1" w:rsidRDefault="00741AEB" w:rsidP="002774F4">
      <w:pPr>
        <w:pStyle w:val="ListParagraph"/>
        <w:numPr>
          <w:ilvl w:val="0"/>
          <w:numId w:val="5"/>
        </w:numPr>
        <w:spacing w:after="240"/>
        <w:jc w:val="both"/>
        <w:rPr>
          <w:szCs w:val="24"/>
        </w:rPr>
      </w:pPr>
      <w:r w:rsidRPr="006B1DE1">
        <w:rPr>
          <w:szCs w:val="24"/>
        </w:rPr>
        <w:t>Sexual orientation</w:t>
      </w:r>
    </w:p>
    <w:p w:rsidR="00741AEB" w:rsidRPr="006B1DE1" w:rsidRDefault="00741AEB" w:rsidP="002774F4">
      <w:pPr>
        <w:pStyle w:val="ListParagraph"/>
        <w:numPr>
          <w:ilvl w:val="0"/>
          <w:numId w:val="5"/>
        </w:numPr>
        <w:spacing w:after="240"/>
        <w:jc w:val="both"/>
        <w:rPr>
          <w:szCs w:val="24"/>
        </w:rPr>
      </w:pPr>
      <w:r w:rsidRPr="006B1DE1">
        <w:rPr>
          <w:szCs w:val="24"/>
        </w:rPr>
        <w:t xml:space="preserve">Marriage and Civil partnership       </w:t>
      </w:r>
    </w:p>
    <w:p w:rsidR="00741AEB" w:rsidRPr="006B1DE1" w:rsidRDefault="00741AEB" w:rsidP="00741AEB">
      <w:pPr>
        <w:pStyle w:val="Heading2"/>
      </w:pPr>
      <w:r w:rsidRPr="006B1DE1">
        <w:lastRenderedPageBreak/>
        <w:t>Financial Implications</w:t>
      </w:r>
    </w:p>
    <w:p w:rsidR="00741AEB" w:rsidRPr="006B1DE1" w:rsidRDefault="00374CD9" w:rsidP="00D44E09">
      <w:pPr>
        <w:numPr>
          <w:ilvl w:val="0"/>
          <w:numId w:val="9"/>
        </w:numPr>
        <w:spacing w:after="240"/>
        <w:ind w:hanging="720"/>
      </w:pPr>
      <w:r>
        <w:t>F</w:t>
      </w:r>
      <w:r w:rsidR="00741AEB" w:rsidRPr="006B1DE1">
        <w:t>inancial matters are integral to the report.</w:t>
      </w:r>
    </w:p>
    <w:p w:rsidR="00741AEB" w:rsidRPr="006B1DE1" w:rsidRDefault="00741AEB" w:rsidP="00741AEB">
      <w:pPr>
        <w:pStyle w:val="Heading2"/>
      </w:pPr>
      <w:r w:rsidRPr="006B1DE1">
        <w:t>Performance Issues</w:t>
      </w:r>
    </w:p>
    <w:p w:rsidR="00741AEB" w:rsidRPr="006B1DE1" w:rsidRDefault="00741AEB" w:rsidP="00D44E09">
      <w:pPr>
        <w:numPr>
          <w:ilvl w:val="0"/>
          <w:numId w:val="9"/>
        </w:numPr>
        <w:spacing w:after="240"/>
        <w:ind w:hanging="720"/>
      </w:pPr>
      <w:r w:rsidRPr="006B1DE1">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rsidR="00741AEB" w:rsidRPr="006B1DE1" w:rsidRDefault="00741AEB" w:rsidP="00D44E09">
      <w:pPr>
        <w:numPr>
          <w:ilvl w:val="0"/>
          <w:numId w:val="9"/>
        </w:numPr>
        <w:spacing w:after="240"/>
        <w:ind w:hanging="720"/>
      </w:pPr>
      <w:r w:rsidRPr="006B1DE1">
        <w:t xml:space="preserve">The overall projected percentage variance from the revenue budget is currently forecast to be </w:t>
      </w:r>
      <w:proofErr w:type="gramStart"/>
      <w:r w:rsidRPr="006B1DE1">
        <w:t>an overspend</w:t>
      </w:r>
      <w:proofErr w:type="gramEnd"/>
      <w:r w:rsidRPr="006B1DE1">
        <w:t xml:space="preserve"> of 2.1%.  </w:t>
      </w:r>
    </w:p>
    <w:p w:rsidR="00741AEB" w:rsidRPr="006B1DE1" w:rsidRDefault="00741AEB" w:rsidP="00D44E09">
      <w:pPr>
        <w:numPr>
          <w:ilvl w:val="0"/>
          <w:numId w:val="9"/>
        </w:numPr>
        <w:spacing w:after="240"/>
        <w:ind w:hanging="720"/>
      </w:pPr>
      <w:r w:rsidRPr="006B1DE1">
        <w:t xml:space="preserve">For the 2015/16 savings built into the MTFS, the overall position is that 40% of the savings are RAG rated as blue (achieved and banked),  25% green (achievement of saving on track), </w:t>
      </w:r>
      <w:r w:rsidR="001C64C0">
        <w:t>32</w:t>
      </w:r>
      <w:r w:rsidRPr="006B1DE1">
        <w:t xml:space="preserve">% amber (saving only partially achieved or risks remaining)  and </w:t>
      </w:r>
      <w:r w:rsidR="001C64C0">
        <w:t>3</w:t>
      </w:r>
      <w:r w:rsidRPr="006B1DE1">
        <w:t>% red (agreed saving not achievable).</w:t>
      </w:r>
    </w:p>
    <w:p w:rsidR="00741AEB" w:rsidRPr="006B1DE1" w:rsidRDefault="00741AEB" w:rsidP="00D44E09">
      <w:pPr>
        <w:numPr>
          <w:ilvl w:val="0"/>
          <w:numId w:val="9"/>
        </w:numPr>
        <w:spacing w:after="240"/>
        <w:ind w:hanging="720"/>
      </w:pPr>
      <w:r w:rsidRPr="006B1DE1">
        <w:t xml:space="preserve">There is a performance target of 90% of the approved capital programme for 2015/16 being spent in year. The current projection is for </w:t>
      </w:r>
      <w:proofErr w:type="gramStart"/>
      <w:r w:rsidRPr="006B1DE1">
        <w:t>spend</w:t>
      </w:r>
      <w:proofErr w:type="gramEnd"/>
      <w:r w:rsidRPr="006B1DE1">
        <w:t xml:space="preserve"> to be 92% of budget.  </w:t>
      </w:r>
    </w:p>
    <w:p w:rsidR="00741AEB" w:rsidRPr="006B1DE1" w:rsidRDefault="00741AEB" w:rsidP="00D44E09">
      <w:pPr>
        <w:numPr>
          <w:ilvl w:val="0"/>
          <w:numId w:val="9"/>
        </w:numPr>
        <w:spacing w:after="240"/>
        <w:ind w:hanging="720"/>
      </w:pPr>
      <w:r w:rsidRPr="006B1DE1">
        <w:t>Council Tax Collection: The collection rate for Quarter 1 is 30.05% against a profile target of 30.00%</w:t>
      </w:r>
    </w:p>
    <w:p w:rsidR="00741AEB" w:rsidRPr="006B1DE1" w:rsidRDefault="00741AEB" w:rsidP="00D44E09">
      <w:pPr>
        <w:numPr>
          <w:ilvl w:val="0"/>
          <w:numId w:val="9"/>
        </w:numPr>
        <w:spacing w:after="240"/>
        <w:ind w:hanging="720"/>
        <w:rPr>
          <w:b/>
          <w:sz w:val="28"/>
          <w:szCs w:val="28"/>
        </w:rPr>
      </w:pPr>
      <w:r w:rsidRPr="006B1DE1">
        <w:t xml:space="preserve">Business Rates Collection: The collection rate for Quarter 1 is a collection rate of 33.41% against a profile target of 33.00%. </w:t>
      </w:r>
    </w:p>
    <w:p w:rsidR="00741AEB" w:rsidRPr="006B1DE1" w:rsidRDefault="00741AEB" w:rsidP="00741AEB">
      <w:pPr>
        <w:spacing w:after="240"/>
        <w:rPr>
          <w:b/>
          <w:sz w:val="28"/>
          <w:szCs w:val="28"/>
        </w:rPr>
      </w:pPr>
      <w:r w:rsidRPr="006B1DE1">
        <w:rPr>
          <w:b/>
          <w:sz w:val="28"/>
          <w:szCs w:val="28"/>
        </w:rPr>
        <w:t>Environmental Impact</w:t>
      </w:r>
    </w:p>
    <w:p w:rsidR="00741AEB" w:rsidRPr="006B1DE1" w:rsidRDefault="00741AEB" w:rsidP="00D44E09">
      <w:pPr>
        <w:numPr>
          <w:ilvl w:val="0"/>
          <w:numId w:val="9"/>
        </w:numPr>
        <w:spacing w:after="240"/>
        <w:ind w:hanging="720"/>
      </w:pPr>
      <w:r w:rsidRPr="006B1DE1">
        <w:t>There are none directly related to this report</w:t>
      </w:r>
    </w:p>
    <w:p w:rsidR="00741AEB" w:rsidRPr="006B1DE1" w:rsidRDefault="00741AEB" w:rsidP="00741AEB"/>
    <w:p w:rsidR="00741AEB" w:rsidRPr="006B1DE1" w:rsidRDefault="00741AEB" w:rsidP="00741AEB">
      <w:pPr>
        <w:rPr>
          <w:b/>
          <w:sz w:val="28"/>
          <w:szCs w:val="28"/>
        </w:rPr>
      </w:pPr>
      <w:r w:rsidRPr="006B1DE1">
        <w:rPr>
          <w:b/>
          <w:sz w:val="28"/>
          <w:szCs w:val="28"/>
        </w:rPr>
        <w:t>Risk Management Implications</w:t>
      </w:r>
    </w:p>
    <w:p w:rsidR="00741AEB" w:rsidRPr="00374CD9" w:rsidRDefault="00741AEB" w:rsidP="00D44E09">
      <w:pPr>
        <w:numPr>
          <w:ilvl w:val="0"/>
          <w:numId w:val="9"/>
        </w:numPr>
        <w:spacing w:after="240"/>
        <w:ind w:hanging="720"/>
      </w:pPr>
      <w:r w:rsidRPr="00374CD9">
        <w:t>The risks to the Council and how they are being managed are set out in the report.</w:t>
      </w:r>
    </w:p>
    <w:p w:rsidR="00741AEB" w:rsidRPr="006B1DE1" w:rsidRDefault="00741AEB" w:rsidP="00D44E09">
      <w:pPr>
        <w:numPr>
          <w:ilvl w:val="0"/>
          <w:numId w:val="9"/>
        </w:numPr>
        <w:spacing w:after="240"/>
        <w:ind w:hanging="720"/>
        <w:rPr>
          <w:szCs w:val="24"/>
        </w:rPr>
      </w:pPr>
      <w:r w:rsidRPr="00374CD9">
        <w:t>Risks are</w:t>
      </w:r>
      <w:r w:rsidRPr="006B1DE1">
        <w:rPr>
          <w:szCs w:val="24"/>
        </w:rPr>
        <w:t xml:space="preserve"> included on the Directorate risk registers.</w:t>
      </w:r>
    </w:p>
    <w:p w:rsidR="00741AEB" w:rsidRPr="006B1DE1" w:rsidRDefault="00741AEB" w:rsidP="00741AEB">
      <w:pPr>
        <w:keepNext/>
        <w:ind w:left="360" w:hanging="360"/>
        <w:jc w:val="both"/>
        <w:rPr>
          <w:b/>
          <w:sz w:val="28"/>
          <w:szCs w:val="28"/>
        </w:rPr>
      </w:pPr>
      <w:r w:rsidRPr="006B1DE1">
        <w:rPr>
          <w:b/>
          <w:sz w:val="28"/>
          <w:szCs w:val="28"/>
        </w:rPr>
        <w:t>Equalities implications / Public Sector Equality Duty</w:t>
      </w:r>
    </w:p>
    <w:p w:rsidR="00741AEB" w:rsidRPr="006B1DE1" w:rsidRDefault="00741AEB" w:rsidP="00D44E09">
      <w:pPr>
        <w:numPr>
          <w:ilvl w:val="0"/>
          <w:numId w:val="9"/>
        </w:numPr>
        <w:spacing w:after="240"/>
        <w:ind w:hanging="720"/>
        <w:rPr>
          <w:rFonts w:cs="Arial"/>
          <w:szCs w:val="24"/>
        </w:rPr>
      </w:pPr>
      <w:r w:rsidRPr="006B1DE1">
        <w:t>A full equalities impact assessment was completed on the 2015/16 budget when the budget was set by Full Council. Equalities implications are taken into account by individual directorates whilst running services and making decisions to vire money. A full equality impact assessment will be completed on the budget for 2016/17.</w:t>
      </w:r>
    </w:p>
    <w:p w:rsidR="00741AEB" w:rsidRPr="006B1DE1" w:rsidRDefault="00741AEB" w:rsidP="00741AEB">
      <w:pPr>
        <w:pStyle w:val="ListParagraph"/>
        <w:keepNext/>
        <w:spacing w:after="240"/>
        <w:ind w:hanging="720"/>
        <w:rPr>
          <w:b/>
          <w:sz w:val="28"/>
          <w:szCs w:val="28"/>
        </w:rPr>
      </w:pPr>
      <w:r w:rsidRPr="006B1DE1">
        <w:rPr>
          <w:b/>
          <w:sz w:val="28"/>
          <w:szCs w:val="28"/>
        </w:rPr>
        <w:t>Council Priorities</w:t>
      </w:r>
    </w:p>
    <w:p w:rsidR="00741AEB" w:rsidRPr="006B1DE1" w:rsidRDefault="00741AEB" w:rsidP="00D44E09">
      <w:pPr>
        <w:numPr>
          <w:ilvl w:val="0"/>
          <w:numId w:val="9"/>
        </w:numPr>
        <w:spacing w:after="240"/>
        <w:ind w:hanging="720"/>
        <w:rPr>
          <w:b/>
          <w:sz w:val="28"/>
          <w:szCs w:val="28"/>
        </w:rPr>
      </w:pPr>
      <w:r w:rsidRPr="00677491">
        <w:t>The</w:t>
      </w:r>
      <w:r w:rsidRPr="006B1DE1">
        <w:rPr>
          <w:rFonts w:cs="Arial"/>
          <w:szCs w:val="24"/>
        </w:rPr>
        <w:t xml:space="preserve"> Council’s vision is:</w:t>
      </w:r>
      <w:r w:rsidRPr="006B1DE1">
        <w:rPr>
          <w:rFonts w:cs="Arial"/>
          <w:szCs w:val="24"/>
        </w:rPr>
        <w:tab/>
      </w:r>
    </w:p>
    <w:p w:rsidR="00741AEB" w:rsidRPr="006B1DE1" w:rsidRDefault="00741AEB" w:rsidP="00741AEB">
      <w:pPr>
        <w:rPr>
          <w:rFonts w:cs="Arial"/>
          <w:szCs w:val="24"/>
        </w:rPr>
      </w:pPr>
    </w:p>
    <w:p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rsidR="00741AEB" w:rsidRPr="006B1DE1" w:rsidRDefault="00741AEB" w:rsidP="00741AEB">
      <w:pPr>
        <w:rPr>
          <w:rFonts w:cs="Arial"/>
          <w:szCs w:val="24"/>
        </w:rPr>
      </w:pPr>
    </w:p>
    <w:p w:rsidR="00741AEB" w:rsidRPr="006B1DE1" w:rsidRDefault="00741AEB" w:rsidP="00D44E09">
      <w:pPr>
        <w:numPr>
          <w:ilvl w:val="0"/>
          <w:numId w:val="9"/>
        </w:numPr>
        <w:spacing w:after="240"/>
        <w:ind w:hanging="720"/>
        <w:rPr>
          <w:rFonts w:cs="Arial"/>
          <w:szCs w:val="24"/>
        </w:rPr>
      </w:pPr>
      <w:r w:rsidRPr="006B1DE1">
        <w:rPr>
          <w:rFonts w:cs="Arial"/>
          <w:szCs w:val="24"/>
        </w:rPr>
        <w:t>The Council’s priorities are:</w:t>
      </w:r>
    </w:p>
    <w:p w:rsidR="00741AEB" w:rsidRPr="006B1DE1" w:rsidRDefault="00741AEB" w:rsidP="00741AEB">
      <w:pPr>
        <w:jc w:val="both"/>
      </w:pPr>
    </w:p>
    <w:p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rsidR="00741AEB" w:rsidRPr="006B1DE1" w:rsidRDefault="00741AEB" w:rsidP="00D44E09">
      <w:pPr>
        <w:numPr>
          <w:ilvl w:val="0"/>
          <w:numId w:val="9"/>
        </w:numPr>
        <w:spacing w:after="240"/>
        <w:ind w:hanging="720"/>
      </w:pPr>
      <w:r w:rsidRPr="006B1DE1">
        <w:t xml:space="preserve">This report deals with Revenue and Capital monitoring which is </w:t>
      </w:r>
      <w:proofErr w:type="gramStart"/>
      <w:r w:rsidRPr="006B1DE1">
        <w:t>key</w:t>
      </w:r>
      <w:proofErr w:type="gramEnd"/>
      <w:r w:rsidRPr="006B1DE1">
        <w:t xml:space="preserve"> to delivering the infrastructure to deliver the Council’s priorities.</w:t>
      </w:r>
    </w:p>
    <w:p w:rsidR="00741AEB" w:rsidRPr="006B1DE1" w:rsidRDefault="00741AEB" w:rsidP="00741AEB"/>
    <w:p w:rsidR="00741AEB" w:rsidRPr="006B1DE1" w:rsidRDefault="00741AEB" w:rsidP="00741AEB">
      <w:pPr>
        <w:pStyle w:val="Heading1"/>
        <w:keepNext/>
      </w:pPr>
      <w:r w:rsidRPr="006B1DE1">
        <w:t>Section 3 - Statutory Officer Clearance</w:t>
      </w:r>
    </w:p>
    <w:p w:rsidR="00741AEB" w:rsidRPr="006B1DE1" w:rsidRDefault="00741AEB" w:rsidP="00741AE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p>
        </w:tc>
      </w:tr>
      <w:tr w:rsidR="00741AEB" w:rsidRPr="006B1DE1" w:rsidTr="00741AEB">
        <w:tc>
          <w:tcPr>
            <w:tcW w:w="2320" w:type="pct"/>
            <w:tcBorders>
              <w:top w:val="nil"/>
              <w:bottom w:val="nil"/>
            </w:tcBorders>
          </w:tcPr>
          <w:p w:rsidR="00741AEB" w:rsidRPr="006B1DE1" w:rsidRDefault="00741AEB" w:rsidP="00741AEB">
            <w:pPr>
              <w:pStyle w:val="Infotext"/>
            </w:pPr>
            <w:r w:rsidRPr="006B1DE1">
              <w:t>Name: Dawn Calvert</w:t>
            </w:r>
          </w:p>
        </w:tc>
        <w:tc>
          <w:tcPr>
            <w:tcW w:w="246" w:type="pct"/>
            <w:tcBorders>
              <w:bottom w:val="single" w:sz="4" w:space="0" w:color="auto"/>
            </w:tcBorders>
          </w:tcPr>
          <w:p w:rsidR="00741AEB" w:rsidRPr="006B1DE1" w:rsidRDefault="00BB7370"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Chief Financial Officer</w:t>
            </w:r>
          </w:p>
        </w:tc>
      </w:tr>
      <w:tr w:rsidR="00741AEB" w:rsidRPr="006B1DE1" w:rsidTr="00741AEB">
        <w:tc>
          <w:tcPr>
            <w:tcW w:w="2320" w:type="pct"/>
            <w:tcBorders>
              <w:top w:val="nil"/>
              <w:right w:val="nil"/>
            </w:tcBorders>
          </w:tcPr>
          <w:p w:rsidR="00741AEB" w:rsidRPr="006B1DE1" w:rsidRDefault="00741AEB" w:rsidP="00741AEB">
            <w:pPr>
              <w:pStyle w:val="Infotext"/>
            </w:pPr>
            <w:r w:rsidRPr="006B1DE1">
              <w:t xml:space="preserve"> </w:t>
            </w:r>
          </w:p>
          <w:p w:rsidR="00741AEB" w:rsidRPr="006B1DE1" w:rsidRDefault="00741AEB" w:rsidP="00444185">
            <w:pPr>
              <w:pStyle w:val="Infotext"/>
            </w:pPr>
            <w:r w:rsidRPr="006B1DE1">
              <w:t xml:space="preserve">Date: </w:t>
            </w:r>
            <w:r w:rsidR="00530E7B">
              <w:t xml:space="preserve"> </w:t>
            </w:r>
            <w:r w:rsidR="00444185">
              <w:t>3</w:t>
            </w:r>
            <w:r w:rsidR="00BB7370">
              <w:t>0 November 2015</w:t>
            </w:r>
          </w:p>
        </w:tc>
        <w:tc>
          <w:tcPr>
            <w:tcW w:w="246" w:type="pct"/>
            <w:tcBorders>
              <w:left w:val="nil"/>
              <w:bottom w:val="single" w:sz="4" w:space="0" w:color="auto"/>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tc>
      </w:tr>
      <w:tr w:rsidR="00741AEB" w:rsidRPr="006B1DE1" w:rsidTr="00741AEB">
        <w:tc>
          <w:tcPr>
            <w:tcW w:w="2320" w:type="pct"/>
            <w:tcBorders>
              <w:bottom w:val="nil"/>
              <w:right w:val="nil"/>
            </w:tcBorders>
          </w:tcPr>
          <w:p w:rsidR="00741AEB" w:rsidRPr="006B1DE1" w:rsidRDefault="00741AEB" w:rsidP="00741AEB">
            <w:pPr>
              <w:pStyle w:val="Infotext"/>
            </w:pPr>
          </w:p>
          <w:p w:rsidR="00741AEB" w:rsidRPr="006B1DE1" w:rsidRDefault="00741AEB" w:rsidP="00741AEB">
            <w:pPr>
              <w:pStyle w:val="Infotext"/>
            </w:pPr>
          </w:p>
        </w:tc>
        <w:tc>
          <w:tcPr>
            <w:tcW w:w="246" w:type="pct"/>
            <w:tcBorders>
              <w:left w:val="nil"/>
              <w:right w:val="nil"/>
            </w:tcBorders>
          </w:tcPr>
          <w:p w:rsidR="00741AEB" w:rsidRPr="006B1DE1" w:rsidRDefault="00741AEB" w:rsidP="00741AEB">
            <w:pPr>
              <w:pStyle w:val="Infotext"/>
            </w:pPr>
          </w:p>
        </w:tc>
        <w:tc>
          <w:tcPr>
            <w:tcW w:w="133" w:type="pct"/>
            <w:tcBorders>
              <w:left w:val="nil"/>
              <w:bottom w:val="nil"/>
              <w:right w:val="nil"/>
            </w:tcBorders>
          </w:tcPr>
          <w:p w:rsidR="00741AEB" w:rsidRPr="006B1DE1" w:rsidRDefault="00741AEB" w:rsidP="00741AEB">
            <w:pPr>
              <w:pStyle w:val="Infotext"/>
            </w:pPr>
          </w:p>
        </w:tc>
        <w:tc>
          <w:tcPr>
            <w:tcW w:w="2300" w:type="pct"/>
            <w:tcBorders>
              <w:left w:val="nil"/>
              <w:bottom w:val="nil"/>
            </w:tcBorders>
          </w:tcPr>
          <w:p w:rsidR="00741AEB" w:rsidRPr="006B1DE1" w:rsidRDefault="00741AEB" w:rsidP="00741AEB">
            <w:pPr>
              <w:pStyle w:val="Infotext"/>
            </w:pPr>
          </w:p>
          <w:p w:rsidR="00741AEB" w:rsidRPr="006B1DE1" w:rsidRDefault="00741AEB" w:rsidP="00741AEB">
            <w:pPr>
              <w:pStyle w:val="Infotext"/>
            </w:pPr>
            <w:r w:rsidRPr="006B1DE1">
              <w:t>on behalf of the</w:t>
            </w:r>
          </w:p>
        </w:tc>
      </w:tr>
      <w:tr w:rsidR="00741AEB" w:rsidRPr="006B1DE1" w:rsidTr="00741AEB">
        <w:tc>
          <w:tcPr>
            <w:tcW w:w="2320" w:type="pct"/>
            <w:tcBorders>
              <w:top w:val="nil"/>
              <w:bottom w:val="nil"/>
            </w:tcBorders>
          </w:tcPr>
          <w:p w:rsidR="00741AEB" w:rsidRPr="006B1DE1" w:rsidRDefault="00741AEB" w:rsidP="00444185">
            <w:pPr>
              <w:pStyle w:val="Infotext"/>
            </w:pPr>
            <w:r w:rsidRPr="006B1DE1">
              <w:t xml:space="preserve">Name: </w:t>
            </w:r>
            <w:r w:rsidR="00444185">
              <w:t>Caroline Eccles</w:t>
            </w:r>
          </w:p>
        </w:tc>
        <w:tc>
          <w:tcPr>
            <w:tcW w:w="246" w:type="pct"/>
            <w:tcBorders>
              <w:bottom w:val="single" w:sz="4" w:space="0" w:color="auto"/>
            </w:tcBorders>
          </w:tcPr>
          <w:p w:rsidR="00741AEB" w:rsidRPr="006B1DE1" w:rsidRDefault="004B1F90" w:rsidP="00741AEB">
            <w:pPr>
              <w:pStyle w:val="Infotext"/>
            </w:pPr>
            <w:r>
              <w:t>x</w:t>
            </w:r>
          </w:p>
        </w:tc>
        <w:tc>
          <w:tcPr>
            <w:tcW w:w="133" w:type="pct"/>
            <w:tcBorders>
              <w:top w:val="nil"/>
              <w:bottom w:val="nil"/>
              <w:right w:val="nil"/>
            </w:tcBorders>
          </w:tcPr>
          <w:p w:rsidR="00741AEB" w:rsidRPr="006B1DE1" w:rsidRDefault="00741AEB" w:rsidP="00741AEB">
            <w:pPr>
              <w:pStyle w:val="Infotext"/>
            </w:pPr>
          </w:p>
        </w:tc>
        <w:tc>
          <w:tcPr>
            <w:tcW w:w="2300" w:type="pct"/>
            <w:tcBorders>
              <w:top w:val="nil"/>
              <w:left w:val="nil"/>
              <w:bottom w:val="nil"/>
            </w:tcBorders>
          </w:tcPr>
          <w:p w:rsidR="00741AEB" w:rsidRPr="006B1DE1" w:rsidRDefault="00741AEB" w:rsidP="00741AEB">
            <w:pPr>
              <w:pStyle w:val="Infotext"/>
            </w:pPr>
            <w:r w:rsidRPr="006B1DE1">
              <w:t>Monitoring Officer</w:t>
            </w:r>
          </w:p>
        </w:tc>
      </w:tr>
      <w:tr w:rsidR="00741AEB" w:rsidRPr="006B1DE1" w:rsidTr="00741AEB">
        <w:tc>
          <w:tcPr>
            <w:tcW w:w="2320" w:type="pct"/>
            <w:tcBorders>
              <w:top w:val="nil"/>
              <w:right w:val="nil"/>
            </w:tcBorders>
          </w:tcPr>
          <w:p w:rsidR="00741AEB" w:rsidRPr="006B1DE1" w:rsidRDefault="00741AEB" w:rsidP="00741AEB">
            <w:pPr>
              <w:pStyle w:val="Infotext"/>
            </w:pPr>
          </w:p>
          <w:p w:rsidR="00741AEB" w:rsidRPr="006B1DE1" w:rsidRDefault="00741AEB" w:rsidP="00D44E09">
            <w:pPr>
              <w:pStyle w:val="Infotext"/>
            </w:pPr>
            <w:r w:rsidRPr="006B1DE1">
              <w:t xml:space="preserve">Date: </w:t>
            </w:r>
            <w:r w:rsidR="004B1F90">
              <w:t xml:space="preserve">30 November </w:t>
            </w:r>
            <w:r w:rsidRPr="006B1DE1">
              <w:t xml:space="preserve"> 2015</w:t>
            </w:r>
          </w:p>
        </w:tc>
        <w:tc>
          <w:tcPr>
            <w:tcW w:w="246" w:type="pct"/>
            <w:tcBorders>
              <w:left w:val="nil"/>
              <w:right w:val="nil"/>
            </w:tcBorders>
          </w:tcPr>
          <w:p w:rsidR="00741AEB" w:rsidRPr="006B1DE1" w:rsidRDefault="00741AEB" w:rsidP="00741AEB">
            <w:pPr>
              <w:pStyle w:val="Infotext"/>
            </w:pPr>
          </w:p>
        </w:tc>
        <w:tc>
          <w:tcPr>
            <w:tcW w:w="133" w:type="pct"/>
            <w:tcBorders>
              <w:top w:val="nil"/>
              <w:left w:val="nil"/>
              <w:right w:val="nil"/>
            </w:tcBorders>
          </w:tcPr>
          <w:p w:rsidR="00741AEB" w:rsidRPr="006B1DE1" w:rsidRDefault="00741AEB" w:rsidP="00741AEB">
            <w:pPr>
              <w:pStyle w:val="Infotext"/>
            </w:pPr>
          </w:p>
        </w:tc>
        <w:tc>
          <w:tcPr>
            <w:tcW w:w="2300" w:type="pct"/>
            <w:tcBorders>
              <w:top w:val="nil"/>
              <w:left w:val="nil"/>
            </w:tcBorders>
          </w:tcPr>
          <w:p w:rsidR="00741AEB" w:rsidRPr="006B1DE1" w:rsidRDefault="00741AEB" w:rsidP="00741AEB">
            <w:pPr>
              <w:pStyle w:val="Infotext"/>
            </w:pPr>
          </w:p>
          <w:p w:rsidR="00741AEB" w:rsidRPr="006B1DE1" w:rsidRDefault="00741AEB" w:rsidP="00741AEB">
            <w:pPr>
              <w:pStyle w:val="Infotext"/>
            </w:pPr>
          </w:p>
        </w:tc>
      </w:tr>
    </w:tbl>
    <w:p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rPr>
            </w:pPr>
            <w:r w:rsidRPr="006B1DE1">
              <w:rPr>
                <w:rFonts w:ascii="Arial Black" w:hAnsi="Arial Black"/>
              </w:rPr>
              <w:t>Ward Councillors notified:</w:t>
            </w:r>
          </w:p>
          <w:p w:rsidR="00741AEB" w:rsidRPr="006B1DE1" w:rsidRDefault="00741AEB" w:rsidP="00741AEB">
            <w:pPr>
              <w:pStyle w:val="Infotext"/>
              <w:rPr>
                <w:color w:val="FF0000"/>
              </w:rPr>
            </w:pPr>
          </w:p>
        </w:tc>
        <w:tc>
          <w:tcPr>
            <w:tcW w:w="1975" w:type="pct"/>
            <w:tcBorders>
              <w:left w:val="nil"/>
            </w:tcBorders>
          </w:tcPr>
          <w:p w:rsidR="00741AEB" w:rsidRPr="006B1DE1" w:rsidRDefault="00741AEB" w:rsidP="00741AEB">
            <w:pPr>
              <w:pStyle w:val="Infotext"/>
            </w:pPr>
          </w:p>
          <w:p w:rsidR="00741AEB" w:rsidRPr="006B1DE1" w:rsidRDefault="00741AEB" w:rsidP="00741AEB">
            <w:pPr>
              <w:pStyle w:val="Infotext"/>
              <w:spacing w:before="120"/>
              <w:rPr>
                <w:b/>
              </w:rPr>
            </w:pPr>
            <w:r w:rsidRPr="006B1DE1">
              <w:rPr>
                <w:b/>
              </w:rPr>
              <w:t xml:space="preserve">NO, as it impacts on all Wards </w:t>
            </w:r>
          </w:p>
          <w:p w:rsidR="00741AEB" w:rsidRPr="006B1DE1" w:rsidRDefault="00741AEB" w:rsidP="00741AEB">
            <w:pPr>
              <w:pStyle w:val="Infotext"/>
              <w:rPr>
                <w:i/>
                <w:sz w:val="24"/>
                <w:szCs w:val="24"/>
              </w:rPr>
            </w:pPr>
            <w:r w:rsidRPr="006B1DE1">
              <w:rPr>
                <w:i/>
                <w:sz w:val="24"/>
                <w:szCs w:val="24"/>
              </w:rPr>
              <w:t xml:space="preserve">. </w:t>
            </w:r>
          </w:p>
          <w:p w:rsidR="00741AEB" w:rsidRPr="006B1DE1" w:rsidRDefault="00741AEB" w:rsidP="00741AEB">
            <w:pPr>
              <w:pStyle w:val="Infotext"/>
              <w:ind w:left="173"/>
              <w:rPr>
                <w:i/>
                <w:sz w:val="24"/>
                <w:szCs w:val="24"/>
              </w:rPr>
            </w:pPr>
          </w:p>
        </w:tc>
      </w:tr>
      <w:tr w:rsidR="00741AEB" w:rsidRPr="006B1DE1" w:rsidTr="00741AEB">
        <w:trPr>
          <w:trHeight w:val="965"/>
        </w:trPr>
        <w:tc>
          <w:tcPr>
            <w:tcW w:w="3025" w:type="pct"/>
            <w:tcBorders>
              <w:right w:val="nil"/>
            </w:tcBorders>
          </w:tcPr>
          <w:p w:rsidR="00741AEB" w:rsidRPr="006B1DE1" w:rsidRDefault="00741AEB" w:rsidP="00741AEB">
            <w:pPr>
              <w:pStyle w:val="Infotext"/>
              <w:rPr>
                <w:rFonts w:ascii="Arial Black" w:hAnsi="Arial Black"/>
                <w:color w:val="FF0000"/>
              </w:rPr>
            </w:pPr>
          </w:p>
          <w:p w:rsidR="00741AEB" w:rsidRPr="006B1DE1" w:rsidRDefault="00741AEB" w:rsidP="00741AEB">
            <w:pPr>
              <w:pStyle w:val="Infotext"/>
              <w:rPr>
                <w:rFonts w:ascii="Arial Black" w:hAnsi="Arial Black"/>
              </w:rPr>
            </w:pPr>
            <w:r w:rsidRPr="006B1DE1">
              <w:rPr>
                <w:rFonts w:ascii="Arial Black" w:hAnsi="Arial Black"/>
              </w:rPr>
              <w:t>EqIA carried out:</w:t>
            </w:r>
          </w:p>
          <w:p w:rsidR="00741AEB" w:rsidRPr="006B1DE1" w:rsidRDefault="00741AEB" w:rsidP="00741AEB">
            <w:pPr>
              <w:pStyle w:val="Infotext"/>
              <w:rPr>
                <w:rFonts w:ascii="Arial Black" w:hAnsi="Arial Black"/>
              </w:rPr>
            </w:pPr>
          </w:p>
          <w:p w:rsidR="00741AEB" w:rsidRPr="006B1DE1" w:rsidRDefault="00741AEB" w:rsidP="00741AEB">
            <w:pPr>
              <w:pStyle w:val="Infotext"/>
              <w:rPr>
                <w:rFonts w:ascii="Arial Black" w:hAnsi="Arial Black"/>
                <w:color w:val="FF0000"/>
              </w:rPr>
            </w:pPr>
            <w:r w:rsidRPr="006B1DE1">
              <w:rPr>
                <w:rFonts w:ascii="Arial Black" w:hAnsi="Arial Black"/>
              </w:rPr>
              <w:t>EqIA cleared by:</w:t>
            </w:r>
          </w:p>
        </w:tc>
        <w:tc>
          <w:tcPr>
            <w:tcW w:w="1975" w:type="pct"/>
            <w:tcBorders>
              <w:left w:val="nil"/>
            </w:tcBorders>
          </w:tcPr>
          <w:p w:rsidR="00741AEB" w:rsidRPr="006B1DE1" w:rsidRDefault="00741AEB" w:rsidP="00741AEB">
            <w:pPr>
              <w:pStyle w:val="Infotext"/>
              <w:rPr>
                <w:b/>
                <w:color w:val="FF0000"/>
              </w:rPr>
            </w:pPr>
          </w:p>
          <w:p w:rsidR="00741AEB" w:rsidRPr="006B1DE1" w:rsidRDefault="00741AEB" w:rsidP="00741AEB">
            <w:pPr>
              <w:pStyle w:val="Infotext"/>
              <w:rPr>
                <w:b/>
              </w:rPr>
            </w:pPr>
            <w:r w:rsidRPr="006B1DE1">
              <w:rPr>
                <w:b/>
              </w:rPr>
              <w:t>NO</w:t>
            </w:r>
          </w:p>
          <w:p w:rsidR="00741AEB" w:rsidRPr="006B1DE1" w:rsidRDefault="00741AEB" w:rsidP="00741AEB">
            <w:pPr>
              <w:pStyle w:val="Infotext"/>
              <w:rPr>
                <w:b/>
                <w:color w:val="FF0000"/>
              </w:rPr>
            </w:pPr>
          </w:p>
          <w:p w:rsidR="00741AEB" w:rsidRPr="006B1DE1" w:rsidRDefault="00741AEB" w:rsidP="00741AEB">
            <w:pPr>
              <w:pStyle w:val="Infotext"/>
            </w:pPr>
            <w:r w:rsidRPr="006B1DE1">
              <w:t>Information for noting only</w:t>
            </w:r>
          </w:p>
          <w:p w:rsidR="00741AEB" w:rsidRPr="006B1DE1" w:rsidRDefault="00741AEB" w:rsidP="00741AEB">
            <w:pPr>
              <w:pStyle w:val="Infotext"/>
              <w:rPr>
                <w:color w:val="FF0000"/>
              </w:rPr>
            </w:pPr>
          </w:p>
        </w:tc>
      </w:tr>
    </w:tbl>
    <w:p w:rsidR="00741AEB" w:rsidRPr="006B1DE1" w:rsidRDefault="00741AEB" w:rsidP="00741AEB"/>
    <w:p w:rsidR="00741AEB" w:rsidRPr="006B1DE1" w:rsidRDefault="00741AEB" w:rsidP="00741AEB"/>
    <w:p w:rsidR="00741AEB" w:rsidRPr="006B1DE1" w:rsidRDefault="00741AEB" w:rsidP="00741AEB"/>
    <w:p w:rsidR="00741AEB" w:rsidRPr="006B1DE1" w:rsidRDefault="00741AEB" w:rsidP="00741AEB"/>
    <w:p w:rsidR="00741AEB" w:rsidRPr="006B1DE1" w:rsidRDefault="00741AEB" w:rsidP="00741AEB">
      <w:pPr>
        <w:pStyle w:val="Heading1"/>
        <w:keepNext/>
      </w:pPr>
      <w:r w:rsidRPr="006B1DE1">
        <w:t>Section 6 - Contact Details and Background Papers</w:t>
      </w:r>
    </w:p>
    <w:p w:rsidR="00741AEB" w:rsidRPr="006B1DE1" w:rsidRDefault="00741AEB" w:rsidP="00741AEB">
      <w:pPr>
        <w:keepNext/>
        <w:rPr>
          <w:rFonts w:cs="Arial"/>
        </w:rPr>
      </w:pPr>
    </w:p>
    <w:p w:rsidR="00741AEB" w:rsidRPr="006B1DE1" w:rsidRDefault="00741AEB" w:rsidP="00741AEB">
      <w:pPr>
        <w:keepNext/>
        <w:rPr>
          <w:rFonts w:cs="Arial"/>
        </w:rPr>
      </w:pPr>
    </w:p>
    <w:p w:rsidR="00741AEB" w:rsidRPr="006B1DE1" w:rsidRDefault="00741AEB" w:rsidP="00741AEB">
      <w:pPr>
        <w:pStyle w:val="Infotext"/>
        <w:rPr>
          <w:b/>
        </w:rPr>
      </w:pPr>
      <w:r w:rsidRPr="006B1DE1">
        <w:rPr>
          <w:b/>
        </w:rPr>
        <w:t xml:space="preserve">Contact:  </w:t>
      </w:r>
    </w:p>
    <w:p w:rsidR="00741AEB" w:rsidRPr="006B1DE1" w:rsidRDefault="00741AEB" w:rsidP="00741AEB">
      <w:pPr>
        <w:rPr>
          <w:szCs w:val="24"/>
        </w:rPr>
      </w:pPr>
      <w:r w:rsidRPr="006B1DE1">
        <w:rPr>
          <w:szCs w:val="24"/>
        </w:rPr>
        <w:lastRenderedPageBreak/>
        <w:t>Steve Tingle (</w:t>
      </w:r>
      <w:hyperlink r:id="rId14" w:history="1">
        <w:r w:rsidRPr="006B1DE1">
          <w:rPr>
            <w:rStyle w:val="Hyperlink"/>
            <w:szCs w:val="24"/>
          </w:rPr>
          <w:t>steve.tingle@harrow.gov.uk</w:t>
        </w:r>
      </w:hyperlink>
      <w:r w:rsidRPr="006B1DE1">
        <w:rPr>
          <w:szCs w:val="24"/>
        </w:rPr>
        <w:t>), Senior Financial Advisor Tel: 020 8420 9384</w:t>
      </w:r>
    </w:p>
    <w:p w:rsidR="00741AEB" w:rsidRPr="006B1DE1" w:rsidRDefault="00741AEB" w:rsidP="00741AEB"/>
    <w:p w:rsidR="00741AEB" w:rsidRPr="006B1DE1" w:rsidRDefault="00741AEB" w:rsidP="00741AEB">
      <w:pPr>
        <w:pStyle w:val="Infotext"/>
        <w:rPr>
          <w:b/>
        </w:rPr>
      </w:pPr>
      <w:r w:rsidRPr="006B1DE1">
        <w:rPr>
          <w:b/>
        </w:rPr>
        <w:t xml:space="preserve">Background Papers: </w:t>
      </w:r>
    </w:p>
    <w:p w:rsidR="00741AEB" w:rsidRPr="006B1DE1" w:rsidRDefault="00741AEB" w:rsidP="00741AEB">
      <w:pPr>
        <w:pStyle w:val="Infotext"/>
        <w:rPr>
          <w:b/>
        </w:rPr>
      </w:pPr>
      <w:r w:rsidRPr="006B1DE1">
        <w:rPr>
          <w:b/>
        </w:rPr>
        <w:t>Cabinet February 19 2015</w:t>
      </w:r>
      <w:proofErr w:type="gramStart"/>
      <w:r w:rsidRPr="006B1DE1">
        <w:rPr>
          <w:b/>
        </w:rPr>
        <w:t>:</w:t>
      </w:r>
      <w:proofErr w:type="gramEnd"/>
      <w:r w:rsidR="00444185">
        <w:fldChar w:fldCharType="begin"/>
      </w:r>
      <w:r w:rsidR="00444185">
        <w:instrText xml:space="preserve"> HYPERLINK "http://www.harrow.gov.uk/www2/documents/b19081/Supplemental%20Agenda%20Thursday%2019-Feb-2015%2018.30%20Cabinet.pdf?T=9" </w:instrText>
      </w:r>
      <w:r w:rsidR="00444185">
        <w:fldChar w:fldCharType="separate"/>
      </w:r>
      <w:r w:rsidRPr="006B1DE1">
        <w:rPr>
          <w:rStyle w:val="Hyperlink"/>
          <w:b/>
        </w:rPr>
        <w:t>Final Revenue Budget 2015/16 and Medium Term Financial Strategy 2015/16 to 2018/19</w:t>
      </w:r>
      <w:r w:rsidR="00444185">
        <w:rPr>
          <w:rStyle w:val="Hyperlink"/>
          <w:b/>
        </w:rPr>
        <w:fldChar w:fldCharType="end"/>
      </w:r>
    </w:p>
    <w:p w:rsidR="00741AEB" w:rsidRPr="006B1DE1" w:rsidRDefault="00741AEB" w:rsidP="00741AEB">
      <w:pPr>
        <w:pStyle w:val="Infotext"/>
        <w:rPr>
          <w:rStyle w:val="Hyperlink"/>
          <w:b/>
        </w:rPr>
      </w:pPr>
      <w:r w:rsidRPr="006B1DE1">
        <w:rPr>
          <w:b/>
        </w:rPr>
        <w:t>Cabinet February 19 2015</w:t>
      </w:r>
      <w:proofErr w:type="gramStart"/>
      <w:r w:rsidRPr="006B1DE1">
        <w:rPr>
          <w:b/>
        </w:rPr>
        <w:t>:</w:t>
      </w:r>
      <w:proofErr w:type="gramEnd"/>
      <w:r w:rsidRPr="006B1DE1">
        <w:rPr>
          <w:b/>
        </w:rPr>
        <w:fldChar w:fldCharType="begin"/>
      </w:r>
      <w:r w:rsidRPr="006B1DE1">
        <w:rPr>
          <w:b/>
        </w:rPr>
        <w:instrText xml:space="preserve"> HYPERLINK "http://www.harrow.gov.uk/www2/documents/g62360/Public%20reports%20pack%20Thursday%2019-Feb-2015%2018.30%20Cabinet.pdf?T=10" </w:instrText>
      </w:r>
      <w:r w:rsidRPr="006B1DE1">
        <w:rPr>
          <w:b/>
        </w:rPr>
        <w:fldChar w:fldCharType="separate"/>
      </w:r>
      <w:r w:rsidRPr="006B1DE1">
        <w:rPr>
          <w:rStyle w:val="Hyperlink"/>
          <w:b/>
        </w:rPr>
        <w:t>Capital Programme 2015/16 to 2018/19</w:t>
      </w:r>
    </w:p>
    <w:p w:rsidR="00741AEB" w:rsidRDefault="00741AEB" w:rsidP="00741AEB">
      <w:pPr>
        <w:pStyle w:val="Infotext"/>
        <w:rPr>
          <w:b/>
        </w:rPr>
      </w:pPr>
      <w:r w:rsidRPr="006B1DE1">
        <w:rPr>
          <w:b/>
        </w:rPr>
        <w:fldChar w:fldCharType="end"/>
      </w:r>
      <w:r w:rsidRPr="006B1DE1">
        <w:rPr>
          <w:b/>
        </w:rPr>
        <w:t xml:space="preserve">Cabinet June 2015: </w:t>
      </w:r>
      <w:hyperlink r:id="rId15" w:history="1">
        <w:r w:rsidRPr="006B1DE1">
          <w:rPr>
            <w:rStyle w:val="Hyperlink"/>
            <w:b/>
          </w:rPr>
          <w:t>Revenue and Capital Outturn 2014-15</w:t>
        </w:r>
      </w:hyperlink>
      <w:r w:rsidRPr="006B1DE1">
        <w:rPr>
          <w:b/>
        </w:rPr>
        <w:t xml:space="preserve"> </w:t>
      </w:r>
    </w:p>
    <w:p w:rsidR="00530E7B" w:rsidRPr="006B1DE1" w:rsidRDefault="00530E7B" w:rsidP="00741AEB">
      <w:pPr>
        <w:pStyle w:val="Infotext"/>
        <w:rPr>
          <w:b/>
        </w:rPr>
      </w:pPr>
      <w:r>
        <w:rPr>
          <w:b/>
        </w:rPr>
        <w:t>Cabinet September 2015</w:t>
      </w:r>
      <w:proofErr w:type="gramStart"/>
      <w:r>
        <w:rPr>
          <w:b/>
        </w:rPr>
        <w:t>:</w:t>
      </w:r>
      <w:proofErr w:type="gramEnd"/>
      <w:hyperlink r:id="rId16" w:history="1">
        <w:r w:rsidRPr="00530E7B">
          <w:rPr>
            <w:rStyle w:val="Hyperlink"/>
            <w:b/>
          </w:rPr>
          <w:t>Revenue and Capital Monitoring as at 30 June 2015</w:t>
        </w:r>
      </w:hyperlink>
    </w:p>
    <w:p w:rsidR="00741AEB" w:rsidRPr="006B1DE1" w:rsidRDefault="00741AEB" w:rsidP="00741AE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741AEB" w:rsidRPr="006B1DE1" w:rsidTr="00741AEB">
        <w:trPr>
          <w:trHeight w:val="965"/>
        </w:trPr>
        <w:tc>
          <w:tcPr>
            <w:tcW w:w="2210" w:type="pct"/>
            <w:tcBorders>
              <w:right w:val="nil"/>
            </w:tcBorders>
          </w:tcPr>
          <w:p w:rsidR="00741AEB" w:rsidRPr="006B1DE1" w:rsidRDefault="00741AEB" w:rsidP="00741AEB">
            <w:pPr>
              <w:pStyle w:val="Infotext"/>
            </w:pPr>
          </w:p>
          <w:p w:rsidR="00741AEB" w:rsidRPr="006B1DE1" w:rsidRDefault="00741AEB" w:rsidP="00741AEB">
            <w:pPr>
              <w:pStyle w:val="Infotext"/>
              <w:rPr>
                <w:rFonts w:ascii="Arial Black" w:hAnsi="Arial Black"/>
              </w:rPr>
            </w:pPr>
            <w:r w:rsidRPr="006B1DE1">
              <w:rPr>
                <w:rFonts w:ascii="Arial Black" w:hAnsi="Arial Black"/>
              </w:rPr>
              <w:t>Call-In Waived by the Chairman of Overview and Scrutiny Committee</w:t>
            </w:r>
          </w:p>
          <w:p w:rsidR="00741AEB" w:rsidRPr="006B1DE1" w:rsidRDefault="00741AEB" w:rsidP="00741AEB">
            <w:pPr>
              <w:pStyle w:val="Infotext"/>
            </w:pPr>
          </w:p>
        </w:tc>
        <w:tc>
          <w:tcPr>
            <w:tcW w:w="321" w:type="pct"/>
            <w:tcBorders>
              <w:left w:val="nil"/>
              <w:right w:val="nil"/>
            </w:tcBorders>
          </w:tcPr>
          <w:p w:rsidR="00741AEB" w:rsidRPr="006B1DE1" w:rsidRDefault="00741AEB" w:rsidP="00741AEB">
            <w:pPr>
              <w:pStyle w:val="Infotext"/>
            </w:pPr>
          </w:p>
        </w:tc>
        <w:tc>
          <w:tcPr>
            <w:tcW w:w="2469" w:type="pct"/>
            <w:tcBorders>
              <w:left w:val="nil"/>
            </w:tcBorders>
          </w:tcPr>
          <w:p w:rsidR="00741AEB" w:rsidRPr="006B1DE1" w:rsidRDefault="00741AEB" w:rsidP="00741AEB">
            <w:pPr>
              <w:pStyle w:val="Infotext"/>
            </w:pPr>
          </w:p>
          <w:p w:rsidR="00741AEB" w:rsidRPr="006B1DE1" w:rsidRDefault="00741AEB" w:rsidP="00741AEB">
            <w:pPr>
              <w:pStyle w:val="Infotext"/>
            </w:pPr>
            <w:r w:rsidRPr="006B1DE1">
              <w:rPr>
                <w:b/>
              </w:rPr>
              <w:t>NOT APPLICABLE</w:t>
            </w:r>
          </w:p>
          <w:p w:rsidR="00741AEB" w:rsidRPr="006B1DE1" w:rsidRDefault="00741AEB" w:rsidP="00741AEB">
            <w:pPr>
              <w:pStyle w:val="Infotext"/>
            </w:pPr>
          </w:p>
          <w:p w:rsidR="00741AEB" w:rsidRPr="005C4015" w:rsidRDefault="00741AEB" w:rsidP="00741AEB">
            <w:pPr>
              <w:pStyle w:val="Infotext"/>
              <w:rPr>
                <w:i/>
              </w:rPr>
            </w:pPr>
            <w:r w:rsidRPr="005C4015">
              <w:rPr>
                <w:i/>
              </w:rPr>
              <w:t>[Call-in appl</w:t>
            </w:r>
            <w:bookmarkStart w:id="7" w:name="_GoBack"/>
            <w:bookmarkEnd w:id="7"/>
            <w:r w:rsidRPr="005C4015">
              <w:rPr>
                <w:i/>
              </w:rPr>
              <w:t>ies]</w:t>
            </w:r>
          </w:p>
          <w:p w:rsidR="00741AEB" w:rsidRPr="006B1DE1" w:rsidRDefault="00741AEB" w:rsidP="00741AEB">
            <w:pPr>
              <w:pStyle w:val="Infotext"/>
            </w:pPr>
          </w:p>
          <w:p w:rsidR="00741AEB" w:rsidRPr="006B1DE1" w:rsidRDefault="00741AEB" w:rsidP="00741AEB">
            <w:pPr>
              <w:pStyle w:val="Infotext"/>
              <w:ind w:left="173"/>
              <w:rPr>
                <w:i/>
                <w:sz w:val="24"/>
                <w:szCs w:val="24"/>
              </w:rPr>
            </w:pPr>
          </w:p>
        </w:tc>
      </w:tr>
    </w:tbl>
    <w:p w:rsidR="00741AEB" w:rsidRPr="006B1DE1" w:rsidRDefault="00741AEB" w:rsidP="00741AEB">
      <w:pPr>
        <w:pStyle w:val="Infotext"/>
        <w:rPr>
          <w:b/>
        </w:rPr>
      </w:pPr>
    </w:p>
    <w:p w:rsidR="00A323D9" w:rsidRDefault="00A323D9">
      <w:pPr>
        <w:rPr>
          <w:b/>
          <w:sz w:val="28"/>
        </w:rPr>
      </w:pPr>
      <w:r>
        <w:rPr>
          <w:b/>
        </w:rPr>
        <w:br w:type="page"/>
      </w:r>
    </w:p>
    <w:p w:rsidR="00741AEB" w:rsidRPr="00A323D9" w:rsidRDefault="00A323D9" w:rsidP="00A323D9">
      <w:pPr>
        <w:pStyle w:val="Infotext"/>
        <w:tabs>
          <w:tab w:val="left" w:pos="1680"/>
        </w:tabs>
        <w:jc w:val="right"/>
        <w:rPr>
          <w:b/>
          <w:sz w:val="24"/>
          <w:szCs w:val="24"/>
        </w:rPr>
      </w:pPr>
      <w:r w:rsidRPr="00A323D9">
        <w:rPr>
          <w:b/>
          <w:sz w:val="24"/>
          <w:szCs w:val="24"/>
        </w:rPr>
        <w:lastRenderedPageBreak/>
        <w:t>Appendix 1</w:t>
      </w:r>
    </w:p>
    <w:p w:rsidR="00741AEB" w:rsidRPr="006B1DE1" w:rsidRDefault="00A323D9" w:rsidP="00741AEB">
      <w:pPr>
        <w:pStyle w:val="Infotext"/>
        <w:tabs>
          <w:tab w:val="left" w:pos="1680"/>
        </w:tabs>
        <w:rPr>
          <w:b/>
        </w:rPr>
      </w:pPr>
      <w:r w:rsidRPr="00A323D9">
        <w:rPr>
          <w:noProof/>
          <w:lang w:eastAsia="en-GB"/>
        </w:rPr>
        <w:drawing>
          <wp:inline distT="0" distB="0" distL="0" distR="0" wp14:anchorId="51F5FC67" wp14:editId="64E0E537">
            <wp:extent cx="5822998" cy="8515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3379" cy="8515907"/>
                    </a:xfrm>
                    <a:prstGeom prst="rect">
                      <a:avLst/>
                    </a:prstGeom>
                    <a:noFill/>
                    <a:ln>
                      <a:noFill/>
                    </a:ln>
                  </pic:spPr>
                </pic:pic>
              </a:graphicData>
            </a:graphic>
          </wp:inline>
        </w:drawing>
      </w:r>
      <w:r w:rsidR="00741AEB" w:rsidRPr="006B1DE1">
        <w:rPr>
          <w:b/>
        </w:rPr>
        <w:tab/>
      </w:r>
    </w:p>
    <w:sectPr w:rsidR="00741AEB" w:rsidRPr="006B1DE1" w:rsidSect="001E3C06">
      <w:footerReference w:type="default" r:id="rId18"/>
      <w:footerReference w:type="first" r:id="rId19"/>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C6" w:rsidRDefault="004922C6">
      <w:r>
        <w:separator/>
      </w:r>
    </w:p>
  </w:endnote>
  <w:endnote w:type="continuationSeparator" w:id="0">
    <w:p w:rsidR="004922C6" w:rsidRDefault="0049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62247"/>
      <w:docPartObj>
        <w:docPartGallery w:val="Page Numbers (Bottom of Page)"/>
        <w:docPartUnique/>
      </w:docPartObj>
    </w:sdtPr>
    <w:sdtEndPr>
      <w:rPr>
        <w:noProof/>
      </w:rPr>
    </w:sdtEndPr>
    <w:sdtContent>
      <w:p w:rsidR="004922C6" w:rsidRDefault="004922C6">
        <w:pPr>
          <w:pStyle w:val="Footer"/>
          <w:jc w:val="center"/>
        </w:pPr>
        <w:r>
          <w:fldChar w:fldCharType="begin"/>
        </w:r>
        <w:r>
          <w:instrText xml:space="preserve"> PAGE   \* MERGEFORMAT </w:instrText>
        </w:r>
        <w:r>
          <w:fldChar w:fldCharType="separate"/>
        </w:r>
        <w:r w:rsidR="005C4015">
          <w:rPr>
            <w:noProof/>
          </w:rPr>
          <w:t>2</w:t>
        </w:r>
        <w:r>
          <w:rPr>
            <w:noProof/>
          </w:rPr>
          <w:fldChar w:fldCharType="end"/>
        </w:r>
      </w:p>
    </w:sdtContent>
  </w:sdt>
  <w:p w:rsidR="004922C6" w:rsidRDefault="0049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C6" w:rsidRPr="008C69F5" w:rsidRDefault="004922C6"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Pr>
        <w:rFonts w:cs="Arial"/>
        <w:noProof/>
        <w:sz w:val="16"/>
        <w:szCs w:val="16"/>
      </w:rPr>
      <w:t>G:\1 Public\Budget Monitoring\2015-2016\Period 6\Cabinet\Cabinet Report Sept Q2  Monitoring v2.docx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C6" w:rsidRDefault="004922C6">
      <w:r>
        <w:separator/>
      </w:r>
    </w:p>
  </w:footnote>
  <w:footnote w:type="continuationSeparator" w:id="0">
    <w:p w:rsidR="004922C6" w:rsidRDefault="00492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F63"/>
    <w:multiLevelType w:val="hybridMultilevel"/>
    <w:tmpl w:val="BB22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41869"/>
    <w:multiLevelType w:val="hybridMultilevel"/>
    <w:tmpl w:val="015EC0C2"/>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D4EFD"/>
    <w:multiLevelType w:val="hybridMultilevel"/>
    <w:tmpl w:val="85D47E92"/>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02668"/>
    <w:multiLevelType w:val="hybridMultilevel"/>
    <w:tmpl w:val="505AE9FC"/>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4">
    <w:nsid w:val="1B8D2D53"/>
    <w:multiLevelType w:val="hybridMultilevel"/>
    <w:tmpl w:val="F0E0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0D03C8"/>
    <w:multiLevelType w:val="hybridMultilevel"/>
    <w:tmpl w:val="5A50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1236D"/>
    <w:multiLevelType w:val="hybridMultilevel"/>
    <w:tmpl w:val="57A01E58"/>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2B5085B"/>
    <w:multiLevelType w:val="hybridMultilevel"/>
    <w:tmpl w:val="85F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D4290"/>
    <w:multiLevelType w:val="hybridMultilevel"/>
    <w:tmpl w:val="BD447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95E0F82"/>
    <w:multiLevelType w:val="hybridMultilevel"/>
    <w:tmpl w:val="A03A6AD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72449"/>
    <w:multiLevelType w:val="hybridMultilevel"/>
    <w:tmpl w:val="9B6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54B84"/>
    <w:multiLevelType w:val="hybridMultilevel"/>
    <w:tmpl w:val="3A2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C012A"/>
    <w:multiLevelType w:val="hybridMultilevel"/>
    <w:tmpl w:val="B3CC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627DB3"/>
    <w:multiLevelType w:val="hybridMultilevel"/>
    <w:tmpl w:val="D45EC766"/>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BC0761"/>
    <w:multiLevelType w:val="hybridMultilevel"/>
    <w:tmpl w:val="7C207D7E"/>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0E16BD"/>
    <w:multiLevelType w:val="hybridMultilevel"/>
    <w:tmpl w:val="234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C7401"/>
    <w:multiLevelType w:val="hybridMultilevel"/>
    <w:tmpl w:val="5F7213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A04C1098">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BE8769F"/>
    <w:multiLevelType w:val="hybridMultilevel"/>
    <w:tmpl w:val="C5F26B22"/>
    <w:lvl w:ilvl="0" w:tplc="0809000F">
      <w:start w:val="1"/>
      <w:numFmt w:val="decimal"/>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A04C1098">
      <w:start w:val="1"/>
      <w:numFmt w:val="lowerLetter"/>
      <w:lvlText w:val="(%4)"/>
      <w:lvlJc w:val="left"/>
      <w:pPr>
        <w:ind w:left="3210" w:hanging="69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9E3A09"/>
    <w:multiLevelType w:val="hybridMultilevel"/>
    <w:tmpl w:val="45ECC3A8"/>
    <w:lvl w:ilvl="0" w:tplc="1DE66106">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222590"/>
    <w:multiLevelType w:val="hybridMultilevel"/>
    <w:tmpl w:val="7678593E"/>
    <w:lvl w:ilvl="0" w:tplc="1DE6610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2962E5"/>
    <w:multiLevelType w:val="hybridMultilevel"/>
    <w:tmpl w:val="5BBCA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D4622B"/>
    <w:multiLevelType w:val="hybridMultilevel"/>
    <w:tmpl w:val="CE226CB6"/>
    <w:lvl w:ilvl="0" w:tplc="08090017">
      <w:start w:val="1"/>
      <w:numFmt w:val="lowerLetter"/>
      <w:lvlText w:val="%1)"/>
      <w:lvlJc w:val="left"/>
      <w:pPr>
        <w:ind w:left="786" w:hanging="360"/>
      </w:pPr>
      <w:rPr>
        <w:rFonts w:hint="default"/>
        <w:b w:val="0"/>
        <w:sz w:val="24"/>
        <w:szCs w:val="24"/>
      </w:rPr>
    </w:lvl>
    <w:lvl w:ilvl="1" w:tplc="08090019">
      <w:start w:val="1"/>
      <w:numFmt w:val="lowerLetter"/>
      <w:lvlText w:val="%2."/>
      <w:lvlJc w:val="left"/>
      <w:pPr>
        <w:ind w:left="1440" w:hanging="360"/>
      </w:pPr>
    </w:lvl>
    <w:lvl w:ilvl="2" w:tplc="CF8A885E">
      <w:numFmt w:val="bullet"/>
      <w:lvlText w:val="•"/>
      <w:lvlJc w:val="left"/>
      <w:pPr>
        <w:ind w:left="3000" w:hanging="10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BB0786"/>
    <w:multiLevelType w:val="hybridMultilevel"/>
    <w:tmpl w:val="D23240BA"/>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0"/>
  </w:num>
  <w:num w:numId="4">
    <w:abstractNumId w:val="11"/>
  </w:num>
  <w:num w:numId="5">
    <w:abstractNumId w:val="22"/>
  </w:num>
  <w:num w:numId="6">
    <w:abstractNumId w:val="17"/>
  </w:num>
  <w:num w:numId="7">
    <w:abstractNumId w:val="0"/>
  </w:num>
  <w:num w:numId="8">
    <w:abstractNumId w:val="11"/>
  </w:num>
  <w:num w:numId="9">
    <w:abstractNumId w:val="14"/>
  </w:num>
  <w:num w:numId="10">
    <w:abstractNumId w:val="20"/>
  </w:num>
  <w:num w:numId="11">
    <w:abstractNumId w:val="12"/>
  </w:num>
  <w:num w:numId="12">
    <w:abstractNumId w:val="24"/>
  </w:num>
  <w:num w:numId="13">
    <w:abstractNumId w:val="10"/>
  </w:num>
  <w:num w:numId="14">
    <w:abstractNumId w:val="13"/>
  </w:num>
  <w:num w:numId="15">
    <w:abstractNumId w:val="5"/>
  </w:num>
  <w:num w:numId="16">
    <w:abstractNumId w:val="16"/>
  </w:num>
  <w:num w:numId="17">
    <w:abstractNumId w:val="7"/>
  </w:num>
  <w:num w:numId="18">
    <w:abstractNumId w:val="8"/>
  </w:num>
  <w:num w:numId="19">
    <w:abstractNumId w:val="3"/>
  </w:num>
  <w:num w:numId="20">
    <w:abstractNumId w:val="4"/>
  </w:num>
  <w:num w:numId="21">
    <w:abstractNumId w:val="19"/>
  </w:num>
  <w:num w:numId="22">
    <w:abstractNumId w:val="15"/>
  </w:num>
  <w:num w:numId="23">
    <w:abstractNumId w:val="1"/>
  </w:num>
  <w:num w:numId="24">
    <w:abstractNumId w:val="2"/>
  </w:num>
  <w:num w:numId="25">
    <w:abstractNumId w:val="9"/>
  </w:num>
  <w:num w:numId="26">
    <w:abstractNumId w:val="6"/>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37BE0"/>
    <w:rsid w:val="0004029A"/>
    <w:rsid w:val="00042683"/>
    <w:rsid w:val="000445EC"/>
    <w:rsid w:val="00045FE8"/>
    <w:rsid w:val="0006034E"/>
    <w:rsid w:val="000618FC"/>
    <w:rsid w:val="00063783"/>
    <w:rsid w:val="00073765"/>
    <w:rsid w:val="00076343"/>
    <w:rsid w:val="000773A9"/>
    <w:rsid w:val="00095755"/>
    <w:rsid w:val="00097294"/>
    <w:rsid w:val="00097587"/>
    <w:rsid w:val="000A0B39"/>
    <w:rsid w:val="000A4437"/>
    <w:rsid w:val="000B788F"/>
    <w:rsid w:val="000F0621"/>
    <w:rsid w:val="00105119"/>
    <w:rsid w:val="001058A6"/>
    <w:rsid w:val="00113AD3"/>
    <w:rsid w:val="001161E4"/>
    <w:rsid w:val="00123FE5"/>
    <w:rsid w:val="00125A26"/>
    <w:rsid w:val="00142D08"/>
    <w:rsid w:val="00145163"/>
    <w:rsid w:val="00153933"/>
    <w:rsid w:val="00156B7C"/>
    <w:rsid w:val="001840D2"/>
    <w:rsid w:val="0019085B"/>
    <w:rsid w:val="001966D7"/>
    <w:rsid w:val="001A2C9A"/>
    <w:rsid w:val="001A637F"/>
    <w:rsid w:val="001B2510"/>
    <w:rsid w:val="001B35A1"/>
    <w:rsid w:val="001C4D2E"/>
    <w:rsid w:val="001C64C0"/>
    <w:rsid w:val="001C7E35"/>
    <w:rsid w:val="001E2C27"/>
    <w:rsid w:val="001E3C06"/>
    <w:rsid w:val="001F0BE9"/>
    <w:rsid w:val="001F7C04"/>
    <w:rsid w:val="00202D79"/>
    <w:rsid w:val="00205D2F"/>
    <w:rsid w:val="00215E8F"/>
    <w:rsid w:val="002410B2"/>
    <w:rsid w:val="00250C20"/>
    <w:rsid w:val="002548D1"/>
    <w:rsid w:val="002700B2"/>
    <w:rsid w:val="00274560"/>
    <w:rsid w:val="002774F4"/>
    <w:rsid w:val="00277F3C"/>
    <w:rsid w:val="0028019B"/>
    <w:rsid w:val="0029131B"/>
    <w:rsid w:val="002A27C0"/>
    <w:rsid w:val="002A3389"/>
    <w:rsid w:val="002B54A6"/>
    <w:rsid w:val="002C672F"/>
    <w:rsid w:val="002D407C"/>
    <w:rsid w:val="002E14DC"/>
    <w:rsid w:val="002E5AF5"/>
    <w:rsid w:val="002F3EE9"/>
    <w:rsid w:val="002F7D59"/>
    <w:rsid w:val="0031019C"/>
    <w:rsid w:val="00333FAA"/>
    <w:rsid w:val="003355D7"/>
    <w:rsid w:val="00350F07"/>
    <w:rsid w:val="00351735"/>
    <w:rsid w:val="00352721"/>
    <w:rsid w:val="0036201C"/>
    <w:rsid w:val="00374CD9"/>
    <w:rsid w:val="00375004"/>
    <w:rsid w:val="0039230A"/>
    <w:rsid w:val="00395F18"/>
    <w:rsid w:val="003B7581"/>
    <w:rsid w:val="003C0274"/>
    <w:rsid w:val="003D6C5E"/>
    <w:rsid w:val="003F47B4"/>
    <w:rsid w:val="004076C8"/>
    <w:rsid w:val="0041077E"/>
    <w:rsid w:val="00410E11"/>
    <w:rsid w:val="00410EE1"/>
    <w:rsid w:val="00411ADC"/>
    <w:rsid w:val="004122E8"/>
    <w:rsid w:val="00421A4C"/>
    <w:rsid w:val="00431404"/>
    <w:rsid w:val="004363F7"/>
    <w:rsid w:val="00444185"/>
    <w:rsid w:val="00455115"/>
    <w:rsid w:val="00471C1F"/>
    <w:rsid w:val="004922C6"/>
    <w:rsid w:val="004B1F90"/>
    <w:rsid w:val="004D2DA0"/>
    <w:rsid w:val="004E14A4"/>
    <w:rsid w:val="005255D6"/>
    <w:rsid w:val="00525D83"/>
    <w:rsid w:val="00530439"/>
    <w:rsid w:val="00530E7B"/>
    <w:rsid w:val="00530EFA"/>
    <w:rsid w:val="005354D0"/>
    <w:rsid w:val="0053726E"/>
    <w:rsid w:val="00544298"/>
    <w:rsid w:val="0054590F"/>
    <w:rsid w:val="00553BE5"/>
    <w:rsid w:val="005718B5"/>
    <w:rsid w:val="005808FB"/>
    <w:rsid w:val="005813FE"/>
    <w:rsid w:val="005918B7"/>
    <w:rsid w:val="00594CCD"/>
    <w:rsid w:val="00595104"/>
    <w:rsid w:val="005B3F67"/>
    <w:rsid w:val="005C4015"/>
    <w:rsid w:val="005D6791"/>
    <w:rsid w:val="005D6EF5"/>
    <w:rsid w:val="005D7C56"/>
    <w:rsid w:val="005E3A10"/>
    <w:rsid w:val="005E5522"/>
    <w:rsid w:val="005E7509"/>
    <w:rsid w:val="00600637"/>
    <w:rsid w:val="00603642"/>
    <w:rsid w:val="00605943"/>
    <w:rsid w:val="006340F5"/>
    <w:rsid w:val="00654FA2"/>
    <w:rsid w:val="00655044"/>
    <w:rsid w:val="00660E65"/>
    <w:rsid w:val="006633CE"/>
    <w:rsid w:val="00670F17"/>
    <w:rsid w:val="00677491"/>
    <w:rsid w:val="0068735C"/>
    <w:rsid w:val="00691A04"/>
    <w:rsid w:val="00696A83"/>
    <w:rsid w:val="006A19EC"/>
    <w:rsid w:val="006B58A7"/>
    <w:rsid w:val="006C5EFC"/>
    <w:rsid w:val="006E1CAF"/>
    <w:rsid w:val="006F057C"/>
    <w:rsid w:val="006F22DA"/>
    <w:rsid w:val="006F2EB3"/>
    <w:rsid w:val="007031A1"/>
    <w:rsid w:val="00714BEE"/>
    <w:rsid w:val="00721215"/>
    <w:rsid w:val="00723B7F"/>
    <w:rsid w:val="00741AEB"/>
    <w:rsid w:val="00742521"/>
    <w:rsid w:val="00742D55"/>
    <w:rsid w:val="00745CEB"/>
    <w:rsid w:val="00761C02"/>
    <w:rsid w:val="0077599C"/>
    <w:rsid w:val="00776803"/>
    <w:rsid w:val="00791192"/>
    <w:rsid w:val="007A2234"/>
    <w:rsid w:val="007B033B"/>
    <w:rsid w:val="007B21A2"/>
    <w:rsid w:val="007B23FC"/>
    <w:rsid w:val="007B64C2"/>
    <w:rsid w:val="007C4B86"/>
    <w:rsid w:val="007D0C1D"/>
    <w:rsid w:val="007D4DBF"/>
    <w:rsid w:val="007E2E17"/>
    <w:rsid w:val="007E4580"/>
    <w:rsid w:val="007E4732"/>
    <w:rsid w:val="007F004E"/>
    <w:rsid w:val="00812901"/>
    <w:rsid w:val="00824C92"/>
    <w:rsid w:val="00826B9A"/>
    <w:rsid w:val="00885435"/>
    <w:rsid w:val="008D213B"/>
    <w:rsid w:val="008D4240"/>
    <w:rsid w:val="008D67D6"/>
    <w:rsid w:val="008E1C20"/>
    <w:rsid w:val="008E2188"/>
    <w:rsid w:val="008E224D"/>
    <w:rsid w:val="008E2A4B"/>
    <w:rsid w:val="008E4AE1"/>
    <w:rsid w:val="0090344B"/>
    <w:rsid w:val="00903C1B"/>
    <w:rsid w:val="00907203"/>
    <w:rsid w:val="00935F3A"/>
    <w:rsid w:val="00950B0F"/>
    <w:rsid w:val="00953CD0"/>
    <w:rsid w:val="00957A93"/>
    <w:rsid w:val="00965ABD"/>
    <w:rsid w:val="00966A35"/>
    <w:rsid w:val="00967408"/>
    <w:rsid w:val="00974AA7"/>
    <w:rsid w:val="009759D8"/>
    <w:rsid w:val="009844BC"/>
    <w:rsid w:val="00987A2E"/>
    <w:rsid w:val="00990E9C"/>
    <w:rsid w:val="00991302"/>
    <w:rsid w:val="009B160B"/>
    <w:rsid w:val="009C02BB"/>
    <w:rsid w:val="009D4C10"/>
    <w:rsid w:val="009E7FE2"/>
    <w:rsid w:val="00A00233"/>
    <w:rsid w:val="00A00952"/>
    <w:rsid w:val="00A07300"/>
    <w:rsid w:val="00A20113"/>
    <w:rsid w:val="00A22839"/>
    <w:rsid w:val="00A323D9"/>
    <w:rsid w:val="00A33185"/>
    <w:rsid w:val="00A53B04"/>
    <w:rsid w:val="00A57770"/>
    <w:rsid w:val="00A7271A"/>
    <w:rsid w:val="00A77B8F"/>
    <w:rsid w:val="00A83A77"/>
    <w:rsid w:val="00A85FA8"/>
    <w:rsid w:val="00AA7F02"/>
    <w:rsid w:val="00AB4C90"/>
    <w:rsid w:val="00AB795F"/>
    <w:rsid w:val="00AC6312"/>
    <w:rsid w:val="00AF1127"/>
    <w:rsid w:val="00AF135A"/>
    <w:rsid w:val="00AF6F1B"/>
    <w:rsid w:val="00B1160D"/>
    <w:rsid w:val="00B125B1"/>
    <w:rsid w:val="00B16765"/>
    <w:rsid w:val="00B24FC0"/>
    <w:rsid w:val="00B35477"/>
    <w:rsid w:val="00B37595"/>
    <w:rsid w:val="00B42144"/>
    <w:rsid w:val="00B53EFF"/>
    <w:rsid w:val="00B54AFA"/>
    <w:rsid w:val="00B75106"/>
    <w:rsid w:val="00B804E8"/>
    <w:rsid w:val="00B95775"/>
    <w:rsid w:val="00BA3AB5"/>
    <w:rsid w:val="00BA3E2F"/>
    <w:rsid w:val="00BB7370"/>
    <w:rsid w:val="00BC206C"/>
    <w:rsid w:val="00C01A35"/>
    <w:rsid w:val="00C24AE1"/>
    <w:rsid w:val="00C52CAA"/>
    <w:rsid w:val="00C57267"/>
    <w:rsid w:val="00C60D02"/>
    <w:rsid w:val="00C736CB"/>
    <w:rsid w:val="00C801D4"/>
    <w:rsid w:val="00C81947"/>
    <w:rsid w:val="00C858E4"/>
    <w:rsid w:val="00CA3A0F"/>
    <w:rsid w:val="00CA6707"/>
    <w:rsid w:val="00CC4B55"/>
    <w:rsid w:val="00CE2818"/>
    <w:rsid w:val="00CF0FC4"/>
    <w:rsid w:val="00CF1B0C"/>
    <w:rsid w:val="00CF6932"/>
    <w:rsid w:val="00D04D30"/>
    <w:rsid w:val="00D07576"/>
    <w:rsid w:val="00D37F2F"/>
    <w:rsid w:val="00D44E09"/>
    <w:rsid w:val="00D52D46"/>
    <w:rsid w:val="00D57782"/>
    <w:rsid w:val="00D60230"/>
    <w:rsid w:val="00D81219"/>
    <w:rsid w:val="00D835CF"/>
    <w:rsid w:val="00DA26FB"/>
    <w:rsid w:val="00DB6C3D"/>
    <w:rsid w:val="00DC5ACF"/>
    <w:rsid w:val="00DC76F0"/>
    <w:rsid w:val="00DD0380"/>
    <w:rsid w:val="00DD0511"/>
    <w:rsid w:val="00DE030F"/>
    <w:rsid w:val="00DE0509"/>
    <w:rsid w:val="00DE71D3"/>
    <w:rsid w:val="00DF08A0"/>
    <w:rsid w:val="00E2312A"/>
    <w:rsid w:val="00E35125"/>
    <w:rsid w:val="00E4537B"/>
    <w:rsid w:val="00E45D9C"/>
    <w:rsid w:val="00E634A6"/>
    <w:rsid w:val="00E6414C"/>
    <w:rsid w:val="00E77F63"/>
    <w:rsid w:val="00EA341D"/>
    <w:rsid w:val="00EA6835"/>
    <w:rsid w:val="00EB5E57"/>
    <w:rsid w:val="00F126D7"/>
    <w:rsid w:val="00F3582A"/>
    <w:rsid w:val="00F4466E"/>
    <w:rsid w:val="00F55A32"/>
    <w:rsid w:val="00F5649A"/>
    <w:rsid w:val="00F82342"/>
    <w:rsid w:val="00F84EA8"/>
    <w:rsid w:val="00F86C1B"/>
    <w:rsid w:val="00F91AE4"/>
    <w:rsid w:val="00F97476"/>
    <w:rsid w:val="00FA1127"/>
    <w:rsid w:val="00FA3CAE"/>
    <w:rsid w:val="00FA5D52"/>
    <w:rsid w:val="00FB1231"/>
    <w:rsid w:val="00FB15BC"/>
    <w:rsid w:val="00FC3E85"/>
    <w:rsid w:val="00FD1A9C"/>
    <w:rsid w:val="00FE17E2"/>
    <w:rsid w:val="00FF0AF3"/>
    <w:rsid w:val="00FF3668"/>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0">
    <w:name w:val="Char Char Char Char Char Char Char Char"/>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0">
    <w:name w:val="Char Char Char Char"/>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harrow.gov.uk/www2/documents/g62616/Public%20reports%20pack%20Thursday%2017-Sep-2015%2018.30%20Cabinet.pdf?T=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harrow.gov.uk/www2/documents/g62614/Public%20reports%20pack%20Wednesday%2017-Jun-2015%2018.30%20Cabinet.pdf?T=10"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ve.tingl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0FE2-E472-49A5-B926-55D647AE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9098</Words>
  <Characters>47731</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56716</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14</cp:revision>
  <cp:lastPrinted>2015-11-02T13:07:00Z</cp:lastPrinted>
  <dcterms:created xsi:type="dcterms:W3CDTF">2015-11-24T09:47:00Z</dcterms:created>
  <dcterms:modified xsi:type="dcterms:W3CDTF">2015-11-30T15:21:00Z</dcterms:modified>
</cp:coreProperties>
</file>